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3"/>
      <w:bookmarkStart w:id="3" w:name="OLE_LINK34"/>
      <w:bookmarkStart w:id="4" w:name="OLE_LINK33"/>
      <w:bookmarkStart w:id="5" w:name="OLE_LINK12"/>
      <w:r>
        <w:rPr>
          <w:rFonts w:hint="eastAsia" w:ascii="Arial" w:hAnsi="Arial" w:eastAsia="宋体"/>
          <w:b/>
          <w:lang w:eastAsia="ja-JP"/>
        </w:rPr>
        <w:t>3GPP TSG RAN WG1 #9</w:t>
      </w:r>
      <w:r>
        <w:rPr>
          <w:rFonts w:hint="eastAsia" w:ascii="Arial" w:hAnsi="Arial" w:eastAsia="宋体"/>
          <w:b/>
        </w:rPr>
        <w:t xml:space="preserve">9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R1-1911930                                                                          </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r>
        <w:rPr>
          <w:rFonts w:ascii="Arial" w:hAnsi="Arial"/>
          <w:b/>
        </w:rPr>
        <w:t>Reno</w:t>
      </w:r>
      <w:r>
        <w:rPr>
          <w:rFonts w:hint="eastAsia" w:ascii="Arial" w:hAnsi="Arial"/>
          <w:b/>
          <w:lang w:eastAsia="ja-JP"/>
        </w:rPr>
        <w:t>,</w:t>
      </w:r>
      <w:r>
        <w:rPr>
          <w:rFonts w:ascii="Arial" w:hAnsi="Arial"/>
          <w:b/>
          <w:lang w:eastAsia="ja-JP"/>
        </w:rPr>
        <w:t xml:space="preserve"> </w:t>
      </w:r>
      <w:r>
        <w:rPr>
          <w:rFonts w:ascii="Arial" w:hAnsi="Arial"/>
          <w:b/>
        </w:rPr>
        <w:t>USA</w:t>
      </w:r>
      <w:r>
        <w:rPr>
          <w:rFonts w:ascii="Arial" w:hAnsi="Arial"/>
          <w:b/>
          <w:lang w:eastAsia="ja-JP"/>
        </w:rPr>
        <w:t>,</w:t>
      </w:r>
      <w:r>
        <w:rPr>
          <w:rFonts w:hint="eastAsia" w:ascii="Arial" w:hAnsi="Arial"/>
          <w:b/>
          <w:lang w:eastAsia="ja-JP"/>
        </w:rPr>
        <w:t xml:space="preserve"> </w:t>
      </w:r>
      <w:r>
        <w:rPr>
          <w:rFonts w:ascii="Arial" w:hAnsi="Arial"/>
          <w:b/>
          <w:lang w:eastAsia="ja-JP"/>
        </w:rPr>
        <w:t>18</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w:t>
      </w:r>
      <w:r>
        <w:rPr>
          <w:rFonts w:ascii="Arial" w:hAnsi="Arial"/>
          <w:b/>
        </w:rPr>
        <w:t>22</w:t>
      </w:r>
      <w:r>
        <w:rPr>
          <w:rFonts w:ascii="Arial" w:hAnsi="Arial"/>
          <w:b/>
          <w:vertAlign w:val="superscript"/>
        </w:rPr>
        <w:t>nd</w:t>
      </w:r>
      <w:r>
        <w:rPr>
          <w:rFonts w:ascii="Arial" w:hAnsi="Arial"/>
          <w:b/>
        </w:rPr>
        <w:t xml:space="preserve"> November</w:t>
      </w:r>
      <w:r>
        <w:rPr>
          <w:rFonts w:hint="eastAsia" w:ascii="Arial" w:hAnsi="Arial" w:eastAsia="宋体"/>
          <w:b/>
          <w:lang w:eastAsia="ja-JP"/>
        </w:rPr>
        <w:t>, 2019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Enhancements on Multi-TRP and Multi-panel Transmission</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7.2.8.2</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previous meetings, good progress has been achieved for both eMBB and URLLC. However, there still are some remaining issues to be determined for support of the essential functionality of multiple TRP/panel transmission.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proposals to support basic functionality of single PDCCH design, multiple PDCCH design and URLLC respectively. </w:t>
      </w:r>
    </w:p>
    <w:p>
      <w:pPr>
        <w:pStyle w:val="2"/>
        <w:snapToGrid w:val="0"/>
        <w:spacing w:before="180" w:beforeLines="50" w:after="180" w:afterLines="50"/>
        <w:ind w:left="431" w:hanging="431"/>
        <w:rPr>
          <w:lang w:val="en-US"/>
        </w:rPr>
      </w:pPr>
      <w:r>
        <w:rPr>
          <w:sz w:val="28"/>
          <w:lang w:val="en-US"/>
        </w:rPr>
        <w:t>Discussion</w:t>
      </w:r>
    </w:p>
    <w:p>
      <w:pPr>
        <w:pStyle w:val="3"/>
        <w:snapToGrid w:val="0"/>
        <w:spacing w:line="240" w:lineRule="auto"/>
        <w:rPr>
          <w:rFonts w:ascii="Arial" w:hAnsi="Arial" w:cs="Arial"/>
          <w:sz w:val="24"/>
          <w:lang w:val="en-US"/>
        </w:rPr>
      </w:pPr>
      <w:r>
        <w:rPr>
          <w:rFonts w:hint="eastAsia" w:ascii="Arial" w:hAnsi="Arial" w:cs="Arial"/>
          <w:sz w:val="24"/>
          <w:lang w:val="en-US"/>
        </w:rPr>
        <w:t>Single PDCCH design and URLLC</w:t>
      </w: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RV sequence for scheme 3</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w:t>
      </w:r>
      <w:r>
        <w:rPr>
          <w:rFonts w:hint="eastAsia" w:ascii="Times New Roman" w:hAnsi="Times New Roman"/>
          <w:sz w:val="20"/>
          <w:szCs w:val="20"/>
          <w:lang w:val="en-US" w:eastAsia="zh-CN"/>
        </w:rPr>
        <w:t>URLLC scheme 3</w:t>
      </w:r>
      <w:r>
        <w:rPr>
          <w:rFonts w:hint="eastAsia" w:ascii="Times New Roman" w:hAnsi="Times New Roman"/>
          <w:sz w:val="20"/>
          <w:szCs w:val="20"/>
        </w:rPr>
        <w:t>, we support the candidates of RV sequence (0,</w:t>
      </w:r>
      <w:r>
        <w:rPr>
          <w:rFonts w:ascii="Times New Roman" w:hAnsi="Times New Roman"/>
          <w:sz w:val="20"/>
          <w:szCs w:val="20"/>
        </w:rPr>
        <w:t xml:space="preserve"> </w:t>
      </w:r>
      <w:r>
        <w:rPr>
          <w:rFonts w:hint="eastAsia" w:ascii="Times New Roman" w:hAnsi="Times New Roman"/>
          <w:sz w:val="20"/>
          <w:szCs w:val="20"/>
        </w:rPr>
        <w:t>3), (2, 1), (3,</w:t>
      </w:r>
      <w:r>
        <w:rPr>
          <w:rFonts w:ascii="Times New Roman" w:hAnsi="Times New Roman"/>
          <w:sz w:val="20"/>
          <w:szCs w:val="20"/>
        </w:rPr>
        <w:t xml:space="preserve"> </w:t>
      </w:r>
      <w:r>
        <w:rPr>
          <w:rFonts w:hint="eastAsia" w:ascii="Times New Roman" w:hAnsi="Times New Roman"/>
          <w:sz w:val="20"/>
          <w:szCs w:val="20"/>
        </w:rPr>
        <w:t>0) and (1,</w:t>
      </w:r>
      <w:r>
        <w:rPr>
          <w:rFonts w:ascii="Times New Roman" w:hAnsi="Times New Roman"/>
          <w:sz w:val="20"/>
          <w:szCs w:val="20"/>
        </w:rPr>
        <w:t xml:space="preserve"> </w:t>
      </w:r>
      <w:r>
        <w:rPr>
          <w:rFonts w:hint="eastAsia" w:ascii="Times New Roman" w:hAnsi="Times New Roman"/>
          <w:sz w:val="20"/>
          <w:szCs w:val="20"/>
        </w:rPr>
        <w:t xml:space="preserve">2) for the two PDSCH occasions as shown in Table 2.1-1. </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2.1-1: Proposed RV sequence for scheme 3</w:t>
      </w:r>
    </w:p>
    <w:tbl>
      <w:tblPr>
        <w:tblStyle w:val="34"/>
        <w:tblW w:w="54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618"/>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53" w:type="dxa"/>
          </w:tcPr>
          <w:p>
            <w:pPr>
              <w:pStyle w:val="61"/>
              <w:keepNext w:val="0"/>
              <w:keepLines w:val="0"/>
              <w:snapToGrid w:val="0"/>
              <w:spacing w:before="180" w:beforeLines="50" w:after="180" w:afterLines="50"/>
              <w:rPr>
                <w:rFonts w:ascii="Times New Roman" w:hAnsi="Times New Roman" w:eastAsia="Batang"/>
                <w:b w:val="0"/>
                <w:bCs/>
                <w:color w:val="000000"/>
              </w:rPr>
            </w:pPr>
            <w:r>
              <w:rPr>
                <w:rFonts w:ascii="Times New Roman" w:hAnsi="Times New Roman" w:eastAsia="Batang"/>
                <w:b w:val="0"/>
                <w:bCs/>
                <w:i/>
                <w:color w:val="000000"/>
              </w:rPr>
              <w:t>rv</w:t>
            </w:r>
            <w:r>
              <w:rPr>
                <w:rFonts w:ascii="Times New Roman" w:hAnsi="Times New Roman" w:eastAsia="Batang"/>
                <w:b w:val="0"/>
                <w:bCs/>
                <w:i/>
                <w:color w:val="000000"/>
                <w:vertAlign w:val="subscript"/>
              </w:rPr>
              <w:t xml:space="preserve">id </w:t>
            </w:r>
            <w:r>
              <w:rPr>
                <w:rFonts w:ascii="Times New Roman" w:hAnsi="Times New Roman" w:eastAsia="Batang"/>
                <w:b w:val="0"/>
                <w:bCs/>
                <w:color w:val="000000"/>
              </w:rPr>
              <w:t xml:space="preserve">indicated by DCI </w:t>
            </w:r>
          </w:p>
        </w:tc>
        <w:tc>
          <w:tcPr>
            <w:tcW w:w="1618" w:type="dxa"/>
          </w:tcPr>
          <w:p>
            <w:pPr>
              <w:pStyle w:val="61"/>
              <w:keepNext w:val="0"/>
              <w:keepLines w:val="0"/>
              <w:snapToGrid w:val="0"/>
              <w:spacing w:before="180" w:beforeLines="50" w:after="180" w:afterLines="50"/>
              <w:rPr>
                <w:rFonts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RV for TRP0</w:t>
            </w:r>
          </w:p>
        </w:tc>
        <w:tc>
          <w:tcPr>
            <w:tcW w:w="1629" w:type="dxa"/>
          </w:tcPr>
          <w:p>
            <w:pPr>
              <w:pStyle w:val="61"/>
              <w:keepNext w:val="0"/>
              <w:keepLines w:val="0"/>
              <w:snapToGrid w:val="0"/>
              <w:spacing w:before="180" w:beforeLines="50" w:after="180" w:afterLines="50"/>
              <w:rPr>
                <w:rFonts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RV for TRP1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53"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0</w:t>
            </w:r>
          </w:p>
        </w:tc>
        <w:tc>
          <w:tcPr>
            <w:tcW w:w="1618"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0</w:t>
            </w:r>
          </w:p>
        </w:tc>
        <w:tc>
          <w:tcPr>
            <w:tcW w:w="1629" w:type="dxa"/>
          </w:tcPr>
          <w:p>
            <w:pPr>
              <w:pStyle w:val="62"/>
              <w:keepNext w:val="0"/>
              <w:keepLines w:val="0"/>
              <w:snapToGrid w:val="0"/>
              <w:spacing w:before="180" w:beforeLines="50" w:after="180" w:afterLines="50"/>
              <w:rPr>
                <w:rFonts w:ascii="Times New Roman" w:hAnsi="Times New Roman" w:eastAsia="宋体"/>
                <w:bCs/>
                <w:color w:val="000000"/>
                <w:lang w:eastAsia="zh-CN"/>
              </w:rPr>
            </w:pPr>
            <w:r>
              <w:rPr>
                <w:rFonts w:hint="eastAsia" w:ascii="Times New Roman" w:hAnsi="Times New Roman" w:eastAsia="宋体"/>
                <w:bCs/>
                <w:color w:val="00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53"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2</w:t>
            </w:r>
          </w:p>
        </w:tc>
        <w:tc>
          <w:tcPr>
            <w:tcW w:w="1618"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2</w:t>
            </w:r>
          </w:p>
        </w:tc>
        <w:tc>
          <w:tcPr>
            <w:tcW w:w="1629" w:type="dxa"/>
          </w:tcPr>
          <w:p>
            <w:pPr>
              <w:pStyle w:val="62"/>
              <w:keepNext w:val="0"/>
              <w:keepLines w:val="0"/>
              <w:snapToGrid w:val="0"/>
              <w:spacing w:before="180" w:beforeLines="50" w:after="180" w:afterLines="50"/>
              <w:rPr>
                <w:rFonts w:ascii="Times New Roman" w:hAnsi="Times New Roman" w:eastAsia="宋体"/>
                <w:bCs/>
                <w:color w:val="000000"/>
                <w:lang w:eastAsia="zh-CN"/>
              </w:rPr>
            </w:pPr>
            <w:r>
              <w:rPr>
                <w:rFonts w:hint="eastAsia" w:ascii="Times New Roman" w:hAnsi="Times New Roman" w:eastAsia="宋体"/>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53"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3</w:t>
            </w:r>
          </w:p>
        </w:tc>
        <w:tc>
          <w:tcPr>
            <w:tcW w:w="1618"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3</w:t>
            </w:r>
          </w:p>
        </w:tc>
        <w:tc>
          <w:tcPr>
            <w:tcW w:w="1629" w:type="dxa"/>
          </w:tcPr>
          <w:p>
            <w:pPr>
              <w:pStyle w:val="62"/>
              <w:keepNext w:val="0"/>
              <w:keepLines w:val="0"/>
              <w:snapToGrid w:val="0"/>
              <w:spacing w:before="180" w:beforeLines="50" w:after="180" w:afterLines="50"/>
              <w:rPr>
                <w:rFonts w:ascii="Times New Roman" w:hAnsi="Times New Roman" w:eastAsia="宋体"/>
                <w:bCs/>
                <w:color w:val="000000"/>
                <w:lang w:eastAsia="zh-CN"/>
              </w:rPr>
            </w:pPr>
            <w:r>
              <w:rPr>
                <w:rFonts w:hint="eastAsia" w:ascii="Times New Roman" w:hAnsi="Times New Roman" w:eastAsia="宋体"/>
                <w:bCs/>
                <w:color w:val="00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2153"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1</w:t>
            </w:r>
          </w:p>
        </w:tc>
        <w:tc>
          <w:tcPr>
            <w:tcW w:w="1618" w:type="dxa"/>
          </w:tcPr>
          <w:p>
            <w:pPr>
              <w:pStyle w:val="62"/>
              <w:keepNext w:val="0"/>
              <w:keepLines w:val="0"/>
              <w:snapToGrid w:val="0"/>
              <w:spacing w:before="180" w:beforeLines="50" w:after="180" w:afterLines="50"/>
              <w:rPr>
                <w:rFonts w:ascii="Times New Roman" w:hAnsi="Times New Roman" w:eastAsia="Batang"/>
                <w:bCs/>
                <w:color w:val="000000"/>
              </w:rPr>
            </w:pPr>
            <w:r>
              <w:rPr>
                <w:rFonts w:ascii="Times New Roman" w:hAnsi="Times New Roman" w:eastAsia="Batang"/>
                <w:bCs/>
                <w:color w:val="000000"/>
              </w:rPr>
              <w:t>1</w:t>
            </w:r>
          </w:p>
        </w:tc>
        <w:tc>
          <w:tcPr>
            <w:tcW w:w="1629" w:type="dxa"/>
          </w:tcPr>
          <w:p>
            <w:pPr>
              <w:pStyle w:val="62"/>
              <w:keepNext w:val="0"/>
              <w:keepLines w:val="0"/>
              <w:snapToGrid w:val="0"/>
              <w:spacing w:before="180" w:beforeLines="50" w:after="180" w:afterLines="50"/>
              <w:rPr>
                <w:rFonts w:ascii="Times New Roman" w:hAnsi="Times New Roman" w:eastAsia="宋体"/>
                <w:bCs/>
                <w:color w:val="000000"/>
                <w:lang w:eastAsia="zh-CN"/>
              </w:rPr>
            </w:pPr>
            <w:r>
              <w:rPr>
                <w:rFonts w:hint="eastAsia" w:ascii="Times New Roman" w:hAnsi="Times New Roman" w:eastAsia="宋体"/>
                <w:bCs/>
                <w:color w:val="000000"/>
                <w:lang w:val="en-US" w:eastAsia="zh-CN"/>
              </w:rPr>
              <w:t>2</w:t>
            </w:r>
          </w:p>
        </w:tc>
      </w:tr>
    </w:tbl>
    <w:p>
      <w:pPr>
        <w:snapToGrid w:val="0"/>
        <w:rPr>
          <w:rFonts w:ascii="Times New Roman" w:hAnsi="Times New Roman"/>
          <w:sz w:val="20"/>
          <w:szCs w:val="20"/>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rPr>
      </w:pPr>
      <w:r>
        <w:rPr>
          <w:rFonts w:hint="eastAsia" w:ascii="Times New Roman" w:hAnsi="Times New Roman" w:eastAsia="宋体"/>
          <w:sz w:val="20"/>
          <w:szCs w:val="20"/>
        </w:rPr>
        <w:t>For initial transmission, RV(0,3) is proposed. In this case even one TRP transmission is completely blocked, the other can be successfully detected because each TRP includes either RV=0 or 3 (RV=0 and 3 are self-decodable). Compared with RV(0, 0), RV(0,3) can achieve soft combining gain if both two TRP transmission are not blocked. On the other hand, compared with RV(0, 2) and (0,1), RV(0,3) can resist blockage. Here, we provide our simulation results for 2 repetitions as follows, which are very aligned with our analysis. Specifically, RV(0,3) and RV(0,0) which show comparable performance are better than RV(0,2) in the blockage scenarios. The simulation assumptions can be found in</w:t>
      </w:r>
      <w:r>
        <w:rPr>
          <w:rFonts w:hint="eastAsia" w:ascii="Times New Roman" w:hAnsi="Times New Roman" w:eastAsia="宋体"/>
          <w:sz w:val="20"/>
          <w:szCs w:val="20"/>
          <w:lang w:val="en-US" w:eastAsia="zh-CN"/>
        </w:rPr>
        <w:t xml:space="preserve"> appendix</w:t>
      </w:r>
      <w:r>
        <w:rPr>
          <w:rFonts w:hint="eastAsia" w:ascii="Times New Roman" w:hAnsi="Times New Roman" w:eastAsia="宋体"/>
          <w:sz w:val="20"/>
          <w:szCs w:val="20"/>
        </w:rPr>
        <w:t>.</w:t>
      </w:r>
    </w:p>
    <w:p>
      <w:pPr>
        <w:snapToGrid w:val="0"/>
        <w:jc w:val="center"/>
        <w:rPr>
          <w:rFonts w:ascii="Times New Roman" w:hAnsi="Times New Roman" w:eastAsia="宋体"/>
          <w:sz w:val="20"/>
          <w:szCs w:val="20"/>
        </w:rPr>
      </w:pPr>
      <w:r>
        <w:rPr>
          <w:rFonts w:hint="eastAsia" w:ascii="Times New Roman" w:hAnsi="Times New Roman" w:eastAsia="宋体"/>
          <w:sz w:val="20"/>
          <w:szCs w:val="20"/>
        </w:rPr>
        <w:drawing>
          <wp:inline distT="0" distB="0" distL="114300" distR="114300">
            <wp:extent cx="3081655" cy="2461260"/>
            <wp:effectExtent l="0" t="0" r="4445" b="1524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5"/>
                    <a:srcRect l="6870" t="4846" r="8497" b="4603"/>
                    <a:stretch>
                      <a:fillRect/>
                    </a:stretch>
                  </pic:blipFill>
                  <pic:spPr>
                    <a:xfrm>
                      <a:off x="0" y="0"/>
                      <a:ext cx="3081655" cy="2461260"/>
                    </a:xfrm>
                    <a:prstGeom prst="rect">
                      <a:avLst/>
                    </a:prstGeom>
                    <a:noFill/>
                    <a:ln w="9525">
                      <a:noFill/>
                    </a:ln>
                  </pic:spPr>
                </pic:pic>
              </a:graphicData>
            </a:graphic>
          </wp:inline>
        </w:drawing>
      </w:r>
    </w:p>
    <w:p>
      <w:pPr>
        <w:numPr>
          <w:ilvl w:val="0"/>
          <w:numId w:val="2"/>
        </w:numPr>
        <w:snapToGrid w:val="0"/>
        <w:jc w:val="center"/>
        <w:rPr>
          <w:rFonts w:ascii="Times New Roman" w:hAnsi="Times New Roman" w:eastAsia="宋体"/>
          <w:sz w:val="20"/>
          <w:szCs w:val="20"/>
        </w:rPr>
      </w:pPr>
      <w:r>
        <w:rPr>
          <w:rFonts w:hint="eastAsia" w:ascii="Times New Roman" w:hAnsi="Times New Roman" w:eastAsia="宋体"/>
          <w:sz w:val="20"/>
          <w:szCs w:val="20"/>
        </w:rPr>
        <w:t xml:space="preserve">CR = 0.12 </w:t>
      </w:r>
    </w:p>
    <w:p>
      <w:pPr>
        <w:snapToGrid w:val="0"/>
        <w:jc w:val="center"/>
        <w:rPr>
          <w:rFonts w:ascii="Times New Roman" w:hAnsi="Times New Roman" w:eastAsia="宋体"/>
          <w:sz w:val="20"/>
          <w:szCs w:val="20"/>
        </w:rPr>
      </w:pPr>
      <w:r>
        <w:rPr>
          <w:rFonts w:hint="eastAsia" w:ascii="Times New Roman" w:hAnsi="Times New Roman" w:eastAsia="宋体"/>
          <w:sz w:val="20"/>
          <w:szCs w:val="20"/>
        </w:rPr>
        <w:drawing>
          <wp:inline distT="0" distB="0" distL="114300" distR="114300">
            <wp:extent cx="3174365" cy="2517140"/>
            <wp:effectExtent l="0" t="0" r="6985" b="165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6"/>
                    <a:srcRect l="6689" t="4846" r="8316" b="4846"/>
                    <a:stretch>
                      <a:fillRect/>
                    </a:stretch>
                  </pic:blipFill>
                  <pic:spPr>
                    <a:xfrm>
                      <a:off x="0" y="0"/>
                      <a:ext cx="3174365" cy="2517140"/>
                    </a:xfrm>
                    <a:prstGeom prst="rect">
                      <a:avLst/>
                    </a:prstGeom>
                    <a:noFill/>
                    <a:ln w="9525">
                      <a:noFill/>
                    </a:ln>
                  </pic:spPr>
                </pic:pic>
              </a:graphicData>
            </a:graphic>
          </wp:inline>
        </w:drawing>
      </w:r>
    </w:p>
    <w:p>
      <w:pPr>
        <w:numPr>
          <w:ilvl w:val="255"/>
          <w:numId w:val="0"/>
        </w:numPr>
        <w:snapToGrid w:val="0"/>
        <w:ind w:firstLine="800" w:firstLineChars="400"/>
        <w:jc w:val="both"/>
        <w:rPr>
          <w:rFonts w:ascii="Times New Roman" w:hAnsi="Times New Roman" w:eastAsia="宋体"/>
          <w:sz w:val="20"/>
          <w:szCs w:val="20"/>
        </w:rPr>
      </w:pPr>
      <w:r>
        <w:rPr>
          <w:rFonts w:hint="eastAsia" w:ascii="Times New Roman" w:hAnsi="Times New Roman" w:eastAsia="宋体"/>
          <w:sz w:val="20"/>
          <w:szCs w:val="20"/>
        </w:rPr>
        <w:t xml:space="preserve">                               (b) CR = 0.30</w:t>
      </w:r>
    </w:p>
    <w:p>
      <w:pPr>
        <w:snapToGrid w:val="0"/>
        <w:jc w:val="center"/>
      </w:pPr>
      <w:r>
        <w:drawing>
          <wp:inline distT="0" distB="0" distL="114300" distR="114300">
            <wp:extent cx="3204210" cy="2631440"/>
            <wp:effectExtent l="0" t="0" r="1524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7"/>
                    <a:srcRect l="7051" t="5088" r="8859" b="4603"/>
                    <a:stretch>
                      <a:fillRect/>
                    </a:stretch>
                  </pic:blipFill>
                  <pic:spPr>
                    <a:xfrm>
                      <a:off x="0" y="0"/>
                      <a:ext cx="3204210" cy="2631440"/>
                    </a:xfrm>
                    <a:prstGeom prst="rect">
                      <a:avLst/>
                    </a:prstGeom>
                    <a:noFill/>
                    <a:ln w="9525">
                      <a:noFill/>
                    </a:ln>
                  </pic:spPr>
                </pic:pic>
              </a:graphicData>
            </a:graphic>
          </wp:inline>
        </w:drawing>
      </w:r>
    </w:p>
    <w:p>
      <w:pPr>
        <w:numPr>
          <w:ilvl w:val="255"/>
          <w:numId w:val="0"/>
        </w:numPr>
        <w:snapToGrid w:val="0"/>
        <w:ind w:firstLine="4400" w:firstLineChars="2200"/>
        <w:jc w:val="both"/>
        <w:rPr>
          <w:rFonts w:ascii="Times New Roman" w:hAnsi="Times New Roman" w:eastAsia="宋体"/>
          <w:sz w:val="20"/>
          <w:szCs w:val="20"/>
        </w:rPr>
      </w:pPr>
      <w:r>
        <w:rPr>
          <w:rFonts w:hint="eastAsia" w:ascii="Times New Roman" w:hAnsi="Times New Roman" w:eastAsia="宋体"/>
          <w:sz w:val="20"/>
          <w:szCs w:val="20"/>
        </w:rPr>
        <w:t xml:space="preserve">(c)CR = 0.44                                </w:t>
      </w:r>
    </w:p>
    <w:p>
      <w:pPr>
        <w:pStyle w:val="94"/>
        <w:snapToGrid w:val="0"/>
        <w:spacing w:before="180" w:beforeLines="50" w:after="180" w:afterLines="50" w:line="240" w:lineRule="auto"/>
        <w:ind w:left="0" w:leftChars="0"/>
        <w:contextualSpacing/>
        <w:jc w:val="center"/>
      </w:pPr>
      <w:r>
        <w:rPr>
          <w:rFonts w:hint="eastAsia" w:ascii="Times New Roman" w:hAnsi="Times New Roman" w:eastAsia="宋体"/>
          <w:sz w:val="20"/>
          <w:szCs w:val="20"/>
        </w:rPr>
        <w:t>Figure 2.1-1 10% full blockage for the first TRP</w:t>
      </w:r>
    </w:p>
    <w:p>
      <w:pPr>
        <w:snapToGrid w:val="0"/>
        <w:rPr>
          <w:rFonts w:ascii="Times New Roman" w:hAnsi="Times New Roman"/>
          <w:sz w:val="20"/>
          <w:szCs w:val="20"/>
        </w:rPr>
      </w:pPr>
      <w:r>
        <w:rPr>
          <w:rFonts w:hint="eastAsia" w:ascii="Times New Roman" w:hAnsi="Times New Roman"/>
          <w:sz w:val="20"/>
          <w:szCs w:val="20"/>
        </w:rPr>
        <w:t>Furthermore, even for URLLC, retransmission should be considered depending on the latency requirement. So RV values 1 and 2 should also be supported. Assuming maximum four time retransmissions, all the RV0, 1, 2, 3 can be achieved even one TRP is completely blocked based on Table 2.1-1.</w:t>
      </w:r>
    </w:p>
    <w:p>
      <w:pPr>
        <w:snapToGrid w:val="0"/>
        <w:rPr>
          <w:rFonts w:ascii="Times New Roman" w:hAnsi="Times New Roman"/>
          <w:b/>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1</w:t>
      </w:r>
      <w:r>
        <w:rPr>
          <w:rFonts w:hint="eastAsia" w:ascii="Times New Roman" w:hAnsi="Times New Roman"/>
          <w:b/>
          <w:bCs/>
          <w:i/>
          <w:iCs/>
          <w:sz w:val="20"/>
          <w:szCs w:val="20"/>
        </w:rPr>
        <w:t>: For URLLC scheme 3, support RV sequences (0,</w:t>
      </w:r>
      <w:r>
        <w:rPr>
          <w:rFonts w:ascii="Times New Roman" w:hAnsi="Times New Roman"/>
          <w:b/>
          <w:bCs/>
          <w:i/>
          <w:iCs/>
          <w:sz w:val="20"/>
          <w:szCs w:val="20"/>
        </w:rPr>
        <w:t xml:space="preserve"> </w:t>
      </w:r>
      <w:r>
        <w:rPr>
          <w:rFonts w:hint="eastAsia" w:ascii="Times New Roman" w:hAnsi="Times New Roman"/>
          <w:b/>
          <w:bCs/>
          <w:i/>
          <w:iCs/>
          <w:sz w:val="20"/>
          <w:szCs w:val="20"/>
        </w:rPr>
        <w:t>3), (2, 1), (3,</w:t>
      </w:r>
      <w:r>
        <w:rPr>
          <w:rFonts w:ascii="Times New Roman" w:hAnsi="Times New Roman"/>
          <w:b/>
          <w:bCs/>
          <w:i/>
          <w:iCs/>
          <w:sz w:val="20"/>
          <w:szCs w:val="20"/>
        </w:rPr>
        <w:t xml:space="preserve"> </w:t>
      </w:r>
      <w:r>
        <w:rPr>
          <w:rFonts w:hint="eastAsia" w:ascii="Times New Roman" w:hAnsi="Times New Roman"/>
          <w:b/>
          <w:bCs/>
          <w:i/>
          <w:iCs/>
          <w:sz w:val="20"/>
          <w:szCs w:val="20"/>
        </w:rPr>
        <w:t>0) and (1,</w:t>
      </w:r>
      <w:r>
        <w:rPr>
          <w:rFonts w:ascii="Times New Roman" w:hAnsi="Times New Roman"/>
          <w:b/>
          <w:bCs/>
          <w:i/>
          <w:iCs/>
          <w:sz w:val="20"/>
          <w:szCs w:val="20"/>
        </w:rPr>
        <w:t xml:space="preserve"> </w:t>
      </w:r>
      <w:r>
        <w:rPr>
          <w:rFonts w:hint="eastAsia" w:ascii="Times New Roman" w:hAnsi="Times New Roman"/>
          <w:b/>
          <w:bCs/>
          <w:i/>
          <w:iCs/>
          <w:sz w:val="20"/>
          <w:szCs w:val="20"/>
        </w:rPr>
        <w:t xml:space="preserve">2). </w:t>
      </w:r>
    </w:p>
    <w:p>
      <w:pPr>
        <w:snapToGrid w:val="0"/>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Switching between schemes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RAN1#98bis meeting, a new RRC signaling is agreed to enable one or more schemes among 2a/2b/3 as follows</w:t>
      </w:r>
    </w:p>
    <w:p>
      <w:pPr>
        <w:snapToGrid w:val="0"/>
        <w:spacing w:after="0" w:line="240" w:lineRule="auto"/>
        <w:rPr>
          <w:rFonts w:ascii="Times New Roman" w:hAnsi="Times New Roman" w:eastAsia="Yu Mincho"/>
          <w:i/>
          <w:iCs/>
          <w:sz w:val="20"/>
          <w:szCs w:val="20"/>
          <w:u w:val="single"/>
          <w:lang w:eastAsia="ja-JP"/>
        </w:rPr>
      </w:pPr>
      <w:r>
        <w:rPr>
          <w:rFonts w:ascii="Times New Roman" w:hAnsi="Times New Roman" w:eastAsia="Yu Mincho"/>
          <w:i/>
          <w:iCs/>
          <w:sz w:val="20"/>
          <w:szCs w:val="20"/>
          <w:u w:val="single"/>
          <w:lang w:eastAsia="ja-JP"/>
        </w:rPr>
        <w:t>Agreement</w:t>
      </w:r>
    </w:p>
    <w:p>
      <w:pPr>
        <w:snapToGrid w:val="0"/>
        <w:spacing w:line="240" w:lineRule="auto"/>
        <w:rPr>
          <w:rFonts w:ascii="Times New Roman" w:hAnsi="Times New Roman"/>
          <w:i/>
          <w:iCs/>
          <w:sz w:val="20"/>
          <w:szCs w:val="20"/>
        </w:rPr>
      </w:pPr>
      <w:r>
        <w:rPr>
          <w:rFonts w:ascii="Times New Roman" w:hAnsi="Times New Roman"/>
          <w:i/>
          <w:iCs/>
          <w:sz w:val="20"/>
          <w:szCs w:val="20"/>
        </w:rPr>
        <w:t xml:space="preserve">For single-DCI based M-TRP URLLC scheme differentiation among schemes 2a/2b/3, from the UE perspective: </w:t>
      </w:r>
    </w:p>
    <w:p>
      <w:pPr>
        <w:numPr>
          <w:ilvl w:val="0"/>
          <w:numId w:val="3"/>
        </w:numPr>
        <w:snapToGrid w:val="0"/>
        <w:spacing w:after="160" w:line="240" w:lineRule="auto"/>
        <w:contextualSpacing/>
        <w:jc w:val="both"/>
        <w:rPr>
          <w:rFonts w:ascii="Times New Roman" w:hAnsi="Times New Roman"/>
          <w:i/>
          <w:iCs/>
          <w:sz w:val="20"/>
          <w:szCs w:val="20"/>
        </w:rPr>
      </w:pPr>
      <w:r>
        <w:rPr>
          <w:rFonts w:ascii="Times New Roman" w:hAnsi="Times New Roman"/>
          <w:i/>
          <w:iCs/>
          <w:sz w:val="20"/>
          <w:szCs w:val="20"/>
        </w:rPr>
        <w:t xml:space="preserve">A new RRC parameter is introduced to enable [one scheme/multiple schemes] among 2a/2b/3. </w:t>
      </w:r>
    </w:p>
    <w:p>
      <w:pPr>
        <w:numPr>
          <w:ilvl w:val="1"/>
          <w:numId w:val="3"/>
        </w:numPr>
        <w:snapToGrid w:val="0"/>
        <w:spacing w:after="160" w:line="240" w:lineRule="auto"/>
        <w:contextualSpacing/>
        <w:jc w:val="both"/>
        <w:rPr>
          <w:rFonts w:ascii="Times New Roman" w:hAnsi="Times New Roman"/>
          <w:i/>
          <w:iCs/>
          <w:sz w:val="20"/>
          <w:szCs w:val="20"/>
        </w:rPr>
      </w:pPr>
      <w:r>
        <w:rPr>
          <w:rFonts w:ascii="Times New Roman" w:hAnsi="Times New Roman" w:eastAsia="Yu Mincho"/>
          <w:i/>
          <w:iCs/>
          <w:sz w:val="20"/>
          <w:szCs w:val="20"/>
          <w:lang w:eastAsia="ja-JP"/>
        </w:rPr>
        <w:t>FFS on details</w:t>
      </w:r>
    </w:p>
    <w:p>
      <w:pPr>
        <w:numPr>
          <w:ilvl w:val="0"/>
          <w:numId w:val="3"/>
        </w:numPr>
        <w:snapToGrid w:val="0"/>
        <w:spacing w:before="180" w:beforeLines="50" w:after="160" w:line="240" w:lineRule="auto"/>
        <w:contextualSpacing/>
        <w:jc w:val="both"/>
        <w:rPr>
          <w:rFonts w:ascii="Times New Roman" w:hAnsi="Times New Roman"/>
          <w:i/>
          <w:iCs/>
          <w:sz w:val="20"/>
          <w:szCs w:val="20"/>
        </w:rPr>
      </w:pPr>
      <w:r>
        <w:rPr>
          <w:rFonts w:ascii="Times New Roman" w:hAnsi="Times New Roman" w:eastAsia="Yu Mincho"/>
          <w:i/>
          <w:iCs/>
          <w:sz w:val="20"/>
          <w:szCs w:val="20"/>
          <w:lang w:eastAsia="ja-JP"/>
        </w:rPr>
        <w:t>Note: dynamic switching between schemes (including fallback) is a separate discussion</w:t>
      </w:r>
    </w:p>
    <w:p>
      <w:pPr>
        <w:snapToGrid w:val="0"/>
        <w:spacing w:before="180" w:beforeLines="50" w:after="180" w:afterLines="50" w:line="240" w:lineRule="auto"/>
        <w:jc w:val="both"/>
        <w:rPr>
          <w:rFonts w:ascii="Times New Roman" w:hAnsi="Times New Roman" w:eastAsia="宋体"/>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Conventionally, dynamic switching between single TRP and multiple TRP transmission should be supported because of fast channel fading and interference variance. Since multiple TRP transmission relies on two TCI states, the number of TCI states indicated by DCI can be used to identify whether the transmission is single TRP or multi-TRP.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For flexibility, it is better also to support dynamic switching between scheme 1a, 2a, 2b and 3 if DCI size is not changed. When single TCI state is indicated by DCI, the legacy DMRS table can be used as Rel-15. When two TCI states are indicated by DCI, it will be multi-TRP transmission, then a new DMRS table can be used. In the new table, each transmission scheme including 1a, 2a, 2b and 3 only needs a few entries because each of them only supports a few DMRS ports and SU-MIMO.</w:t>
      </w:r>
      <w:r>
        <w:rPr>
          <w:rFonts w:ascii="Times New Roman" w:hAnsi="Times New Roman" w:eastAsia="宋体"/>
          <w:sz w:val="20"/>
          <w:szCs w:val="20"/>
        </w:rPr>
        <w:t xml:space="preserve"> </w:t>
      </w:r>
      <w:r>
        <w:rPr>
          <w:rFonts w:hint="eastAsia" w:ascii="Times New Roman" w:hAnsi="Times New Roman" w:eastAsia="宋体"/>
          <w:sz w:val="20"/>
          <w:szCs w:val="20"/>
        </w:rPr>
        <w:t>Hence</w:t>
      </w:r>
      <w:r>
        <w:rPr>
          <w:rFonts w:ascii="Times New Roman" w:hAnsi="Times New Roman" w:eastAsia="宋体"/>
          <w:sz w:val="20"/>
          <w:szCs w:val="20"/>
        </w:rPr>
        <w:t xml:space="preserve"> the Rel-15 table size is sufficient to accommodate all the entries required by scheme 1a, 2a, 2b and 3.</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Therefore, we support a new RRC parameter to enable all schemes of 2a, 2b and 3. When NCJT is scheduled, i.e. two TCI states are indicated by TCI codepoint, and scheme 2a, 2b and 3 are enabled by the new RRC signaling, different entry sets in the DMRS table can be used to differentiate transmission scheme among 1a, 2a, 2b and 3. So most flexibility is achieved and no extra DCI overhead is caused.</w:t>
      </w:r>
    </w:p>
    <w:p>
      <w:pPr>
        <w:snapToGrid w:val="0"/>
        <w:spacing w:before="180" w:beforeLines="50" w:after="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2</w:t>
      </w:r>
      <w:r>
        <w:rPr>
          <w:rFonts w:hint="eastAsia" w:ascii="Times New Roman" w:hAnsi="Times New Roman" w:eastAsia="宋体"/>
          <w:b/>
          <w:bCs/>
          <w:i/>
          <w:iCs/>
          <w:sz w:val="20"/>
          <w:szCs w:val="20"/>
        </w:rPr>
        <w:t>: A new RRC parameter is introduced to enable all schemes of 2a, 2b and 3. And dynamic switching among scheme 1a, 2a, 2b and 3 is supported.</w:t>
      </w:r>
    </w:p>
    <w:p>
      <w:pPr>
        <w:pStyle w:val="90"/>
        <w:numPr>
          <w:ilvl w:val="0"/>
          <w:numId w:val="4"/>
        </w:numPr>
        <w:snapToGrid w:val="0"/>
        <w:spacing w:after="0" w:line="240" w:lineRule="auto"/>
        <w:ind w:leftChars="0"/>
        <w:contextualSpacing/>
        <w:jc w:val="both"/>
        <w:rPr>
          <w:rFonts w:ascii="Times New Roman" w:hAnsi="Times New Roman" w:eastAsia="宋体"/>
          <w:b/>
          <w:bCs/>
          <w:i/>
          <w:iCs/>
          <w:sz w:val="20"/>
          <w:szCs w:val="20"/>
        </w:rPr>
      </w:pPr>
      <w:r>
        <w:rPr>
          <w:rFonts w:hint="eastAsia" w:ascii="Times New Roman" w:hAnsi="Times New Roman" w:eastAsia="宋体"/>
          <w:b/>
          <w:bCs/>
          <w:i/>
          <w:iCs/>
          <w:sz w:val="20"/>
          <w:szCs w:val="20"/>
        </w:rPr>
        <w:t xml:space="preserve">If one TCI state is indicated by TCI codepoint, it is single TRP transmission and Rel-15 DMRS table is used. </w:t>
      </w:r>
    </w:p>
    <w:p>
      <w:pPr>
        <w:pStyle w:val="90"/>
        <w:numPr>
          <w:ilvl w:val="0"/>
          <w:numId w:val="4"/>
        </w:numPr>
        <w:snapToGrid w:val="0"/>
        <w:spacing w:after="0" w:line="240" w:lineRule="auto"/>
        <w:ind w:leftChars="0"/>
        <w:contextualSpacing/>
        <w:jc w:val="both"/>
        <w:rPr>
          <w:rFonts w:ascii="Times New Roman" w:hAnsi="Times New Roman" w:eastAsia="宋体"/>
          <w:b/>
          <w:bCs/>
          <w:i/>
          <w:iCs/>
          <w:sz w:val="20"/>
          <w:szCs w:val="20"/>
        </w:rPr>
      </w:pPr>
      <w:r>
        <w:rPr>
          <w:rFonts w:hint="eastAsia" w:ascii="Times New Roman" w:hAnsi="Times New Roman" w:eastAsia="宋体"/>
          <w:b/>
          <w:bCs/>
          <w:i/>
          <w:iCs/>
          <w:sz w:val="20"/>
          <w:szCs w:val="20"/>
        </w:rPr>
        <w:t>If two TCI states are indicated by TCI codepoint, it is multi-TRP/panel transmission and a new DMRS table is used.</w:t>
      </w:r>
    </w:p>
    <w:p>
      <w:pPr>
        <w:pStyle w:val="90"/>
        <w:numPr>
          <w:ilvl w:val="1"/>
          <w:numId w:val="4"/>
        </w:numPr>
        <w:snapToGrid w:val="0"/>
        <w:spacing w:after="0" w:line="240" w:lineRule="auto"/>
        <w:ind w:leftChars="0"/>
        <w:contextualSpacing/>
        <w:jc w:val="both"/>
        <w:rPr>
          <w:rFonts w:ascii="Times New Roman" w:hAnsi="Times New Roman" w:eastAsia="宋体"/>
          <w:b/>
          <w:bCs/>
          <w:i/>
          <w:iCs/>
          <w:sz w:val="20"/>
          <w:szCs w:val="20"/>
        </w:rPr>
      </w:pPr>
      <w:r>
        <w:rPr>
          <w:rFonts w:hint="eastAsia" w:ascii="Times New Roman" w:hAnsi="Times New Roman" w:eastAsia="宋体"/>
          <w:b/>
          <w:bCs/>
          <w:i/>
          <w:iCs/>
          <w:sz w:val="20"/>
          <w:szCs w:val="20"/>
        </w:rPr>
        <w:t>Different entry sets in the new DMRS table can represent scheme 1a, 2a, 2b and 3.</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Specifically, when two TCI states are indicated by TCI codepoint, a new DMRS table is implicitly reused, an example is provided as follows. By this way, DCI format change is not needed, and dynamic switching among these schemes can be supported.</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Table </w:t>
      </w:r>
      <w:r>
        <w:rPr>
          <w:rFonts w:hint="eastAsia" w:ascii="Times New Roman" w:hAnsi="Times New Roman"/>
          <w:sz w:val="20"/>
          <w:szCs w:val="20"/>
        </w:rPr>
        <w:t>2.1</w:t>
      </w:r>
      <w:r>
        <w:rPr>
          <w:rFonts w:ascii="Times New Roman" w:hAnsi="Times New Roman"/>
          <w:sz w:val="20"/>
          <w:szCs w:val="20"/>
        </w:rPr>
        <w:t>-</w:t>
      </w:r>
      <w:r>
        <w:rPr>
          <w:rFonts w:hint="eastAsia" w:ascii="Times New Roman" w:hAnsi="Times New Roman"/>
          <w:sz w:val="20"/>
          <w:szCs w:val="20"/>
        </w:rPr>
        <w:t>1: Antenna port(s) (1000 + DMRS port), </w:t>
      </w:r>
      <w:r>
        <w:rPr>
          <w:rFonts w:ascii="Times New Roman" w:hAnsi="Times New Roman"/>
          <w:sz w:val="20"/>
          <w:szCs w:val="20"/>
        </w:rPr>
        <w:t>dmrs-Type=1</w:t>
      </w:r>
      <w:r>
        <w:rPr>
          <w:rFonts w:hint="eastAsia" w:ascii="Times New Roman" w:hAnsi="Times New Roman"/>
          <w:sz w:val="20"/>
          <w:szCs w:val="20"/>
        </w:rPr>
        <w:t>,</w:t>
      </w:r>
      <w:r>
        <w:rPr>
          <w:rFonts w:ascii="Times New Roman" w:hAnsi="Times New Roman"/>
          <w:sz w:val="20"/>
          <w:szCs w:val="20"/>
        </w:rPr>
        <w:t> maxLength</w:t>
      </w:r>
      <w:r>
        <w:rPr>
          <w:rFonts w:hint="eastAsia" w:ascii="Times New Roman" w:hAnsi="Times New Roman"/>
          <w:sz w:val="20"/>
          <w:szCs w:val="20"/>
        </w:rPr>
        <w:t>=</w:t>
      </w:r>
      <w:r>
        <w:rPr>
          <w:rFonts w:ascii="Times New Roman" w:hAnsi="Times New Roman"/>
          <w:sz w:val="20"/>
          <w:szCs w:val="20"/>
        </w:rPr>
        <w:t>1</w:t>
      </w:r>
    </w:p>
    <w:tbl>
      <w:tblPr>
        <w:tblStyle w:val="33"/>
        <w:tblW w:w="5445" w:type="dxa"/>
        <w:jc w:val="center"/>
        <w:tblInd w:w="0" w:type="dxa"/>
        <w:shd w:val="clear" w:color="auto" w:fill="FFFFFF"/>
        <w:tblLayout w:type="fixed"/>
        <w:tblCellMar>
          <w:top w:w="15" w:type="dxa"/>
          <w:left w:w="15" w:type="dxa"/>
          <w:bottom w:w="15" w:type="dxa"/>
          <w:right w:w="15" w:type="dxa"/>
        </w:tblCellMar>
      </w:tblPr>
      <w:tblGrid>
        <w:gridCol w:w="1260"/>
        <w:gridCol w:w="1815"/>
        <w:gridCol w:w="1185"/>
        <w:gridCol w:w="1185"/>
      </w:tblGrid>
      <w:tr>
        <w:tblPrEx>
          <w:shd w:val="clear" w:color="auto" w:fill="FFFFFF"/>
          <w:tblLayout w:type="fixed"/>
          <w:tblCellMar>
            <w:top w:w="15" w:type="dxa"/>
            <w:left w:w="15" w:type="dxa"/>
            <w:bottom w:w="15" w:type="dxa"/>
            <w:right w:w="15" w:type="dxa"/>
          </w:tblCellMar>
        </w:tblPrEx>
        <w:trPr>
          <w:jc w:val="center"/>
        </w:trPr>
        <w:tc>
          <w:tcPr>
            <w:tcW w:w="5445" w:type="dxa"/>
            <w:gridSpan w:val="4"/>
            <w:tcBorders>
              <w:top w:val="single" w:color="auto" w:sz="6" w:space="0"/>
              <w:left w:val="single" w:color="auto" w:sz="6" w:space="0"/>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lang w:eastAsia="zh-CN"/>
              </w:rPr>
            </w:pPr>
            <w:r>
              <w:rPr>
                <w:rFonts w:hint="eastAsia" w:cs="Arial"/>
                <w:sz w:val="16"/>
                <w:szCs w:val="16"/>
                <w:lang w:eastAsia="zh-CN"/>
              </w:rPr>
              <w:t>One Codeword:</w:t>
            </w:r>
          </w:p>
          <w:p>
            <w:pPr>
              <w:pStyle w:val="62"/>
              <w:snapToGrid w:val="0"/>
              <w:rPr>
                <w:rFonts w:cs="Arial"/>
                <w:sz w:val="16"/>
                <w:szCs w:val="16"/>
                <w:lang w:eastAsia="zh-CN"/>
              </w:rPr>
            </w:pPr>
            <w:r>
              <w:rPr>
                <w:rFonts w:cs="Arial"/>
                <w:sz w:val="16"/>
                <w:szCs w:val="16"/>
                <w:lang w:eastAsia="zh-CN"/>
              </w:rPr>
              <w:t>Codeword 0 enabled,</w:t>
            </w:r>
          </w:p>
          <w:p>
            <w:pPr>
              <w:pStyle w:val="62"/>
              <w:snapToGrid w:val="0"/>
              <w:rPr>
                <w:rFonts w:cs="Arial"/>
                <w:sz w:val="16"/>
                <w:szCs w:val="16"/>
                <w:lang w:val="en-US" w:eastAsia="zh-CN"/>
              </w:rPr>
            </w:pPr>
            <w:r>
              <w:rPr>
                <w:rFonts w:cs="Arial"/>
                <w:sz w:val="16"/>
                <w:szCs w:val="16"/>
                <w:lang w:eastAsia="zh-CN"/>
              </w:rPr>
              <w:t>Codeword 1 disabled</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lang w:eastAsia="zh-CN"/>
              </w:rPr>
            </w:pPr>
            <w:r>
              <w:rPr>
                <w:rFonts w:cs="Arial"/>
                <w:sz w:val="16"/>
                <w:szCs w:val="16"/>
                <w:lang w:eastAsia="zh-CN"/>
              </w:rPr>
              <w:t>Value</w:t>
            </w:r>
          </w:p>
        </w:tc>
        <w:tc>
          <w:tcPr>
            <w:tcW w:w="1815" w:type="dxa"/>
            <w:tcBorders>
              <w:top w:val="nil"/>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lang w:eastAsia="zh-CN"/>
              </w:rPr>
            </w:pPr>
            <w:r>
              <w:rPr>
                <w:rFonts w:cs="Arial"/>
                <w:sz w:val="16"/>
                <w:szCs w:val="16"/>
                <w:lang w:eastAsia="zh-CN"/>
              </w:rPr>
              <w:t>Number of </w:t>
            </w:r>
            <w:r>
              <w:rPr>
                <w:rFonts w:hint="eastAsia" w:cs="Arial"/>
                <w:sz w:val="16"/>
                <w:szCs w:val="16"/>
                <w:lang w:eastAsia="zh-CN"/>
              </w:rPr>
              <w:t>DMRS</w:t>
            </w:r>
            <w:r>
              <w:rPr>
                <w:rFonts w:cs="Arial"/>
                <w:sz w:val="16"/>
                <w:szCs w:val="16"/>
                <w:lang w:eastAsia="zh-CN"/>
              </w:rPr>
              <w:t>CDM group(s)</w:t>
            </w:r>
            <w:r>
              <w:rPr>
                <w:rFonts w:hint="eastAsia" w:cs="Arial"/>
                <w:sz w:val="16"/>
                <w:szCs w:val="16"/>
                <w:lang w:eastAsia="zh-CN"/>
              </w:rPr>
              <w:t> without data</w:t>
            </w:r>
          </w:p>
        </w:tc>
        <w:tc>
          <w:tcPr>
            <w:tcW w:w="1185" w:type="dxa"/>
            <w:tcBorders>
              <w:top w:val="single" w:color="auto" w:sz="6" w:space="0"/>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lang w:eastAsia="zh-CN"/>
              </w:rPr>
            </w:pPr>
            <w:r>
              <w:rPr>
                <w:rFonts w:cs="Arial"/>
                <w:sz w:val="16"/>
                <w:szCs w:val="16"/>
                <w:lang w:eastAsia="zh-CN"/>
              </w:rPr>
              <w:t>DMRS port(s)</w:t>
            </w:r>
          </w:p>
        </w:tc>
        <w:tc>
          <w:tcPr>
            <w:tcW w:w="1185" w:type="dxa"/>
            <w:tcBorders>
              <w:top w:val="single" w:color="auto" w:sz="6" w:space="0"/>
              <w:left w:val="nil"/>
              <w:bottom w:val="single" w:color="auto" w:sz="6" w:space="0"/>
              <w:right w:val="single" w:color="auto" w:sz="6" w:space="0"/>
            </w:tcBorders>
            <w:shd w:val="clear" w:color="auto" w:fill="D9D9D9"/>
            <w:tcMar>
              <w:top w:w="0" w:type="dxa"/>
              <w:left w:w="105" w:type="dxa"/>
              <w:bottom w:w="0" w:type="dxa"/>
              <w:right w:w="105" w:type="dxa"/>
            </w:tcMar>
            <w:vAlign w:val="center"/>
          </w:tcPr>
          <w:p>
            <w:pPr>
              <w:pStyle w:val="62"/>
              <w:snapToGrid w:val="0"/>
              <w:rPr>
                <w:rFonts w:cs="Arial"/>
                <w:sz w:val="16"/>
                <w:szCs w:val="16"/>
                <w:lang w:eastAsia="zh-CN"/>
              </w:rPr>
            </w:pPr>
            <w:r>
              <w:rPr>
                <w:rFonts w:hint="eastAsia" w:cs="Arial"/>
                <w:sz w:val="16"/>
                <w:szCs w:val="16"/>
                <w:lang w:eastAsia="zh-CN"/>
              </w:rPr>
              <w:t>scheme</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0</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0</w:t>
            </w:r>
            <w:r>
              <w:rPr>
                <w:rFonts w:hint="eastAsia" w:cs="Arial"/>
                <w:sz w:val="16"/>
                <w:szCs w:val="16"/>
                <w:lang w:eastAsia="zh-CN"/>
              </w:rPr>
              <w:t>; 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1</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0,1; 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2</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 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3</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2</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0,1; 2,3</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4</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5</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2a</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6</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2b</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7</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2b</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8</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3</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9</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0,1</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hint="eastAsia" w:cs="Arial"/>
                <w:sz w:val="16"/>
                <w:szCs w:val="16"/>
                <w:lang w:eastAsia="zh-CN"/>
              </w:rPr>
              <w:t>3</w:t>
            </w:r>
          </w:p>
        </w:tc>
      </w:tr>
      <w:tr>
        <w:tblPrEx>
          <w:tblLayout w:type="fixed"/>
          <w:tblCellMar>
            <w:top w:w="15" w:type="dxa"/>
            <w:left w:w="15" w:type="dxa"/>
            <w:bottom w:w="15" w:type="dxa"/>
            <w:right w:w="15" w:type="dxa"/>
          </w:tblCellMar>
        </w:tblPrEx>
        <w:trPr>
          <w:jc w:val="center"/>
        </w:trPr>
        <w:tc>
          <w:tcPr>
            <w:tcW w:w="126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1</w:t>
            </w:r>
            <w:r>
              <w:rPr>
                <w:rFonts w:hint="eastAsia" w:cs="Arial"/>
                <w:sz w:val="16"/>
                <w:szCs w:val="16"/>
                <w:lang w:val="en-US" w:eastAsia="zh-CN"/>
              </w:rPr>
              <w:t>0</w:t>
            </w:r>
            <w:r>
              <w:rPr>
                <w:rFonts w:cs="Arial"/>
                <w:sz w:val="16"/>
                <w:szCs w:val="16"/>
                <w:lang w:eastAsia="zh-CN"/>
              </w:rPr>
              <w:t>-15</w:t>
            </w:r>
          </w:p>
        </w:tc>
        <w:tc>
          <w:tcPr>
            <w:tcW w:w="181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Reserved</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Reserved</w:t>
            </w:r>
          </w:p>
        </w:tc>
        <w:tc>
          <w:tcPr>
            <w:tcW w:w="118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tcPr>
          <w:p>
            <w:pPr>
              <w:pStyle w:val="62"/>
              <w:snapToGrid w:val="0"/>
              <w:rPr>
                <w:rFonts w:cs="Arial"/>
                <w:sz w:val="16"/>
                <w:szCs w:val="16"/>
                <w:lang w:eastAsia="zh-CN"/>
              </w:rPr>
            </w:pPr>
            <w:r>
              <w:rPr>
                <w:rFonts w:cs="Arial"/>
                <w:sz w:val="16"/>
                <w:szCs w:val="16"/>
                <w:lang w:eastAsia="zh-CN"/>
              </w:rPr>
              <w:t>Reserved</w:t>
            </w:r>
          </w:p>
        </w:tc>
      </w:tr>
    </w:tbl>
    <w:p>
      <w:pPr>
        <w:pStyle w:val="94"/>
        <w:snapToGrid w:val="0"/>
        <w:spacing w:after="0" w:line="240" w:lineRule="auto"/>
        <w:ind w:left="0" w:leftChars="0"/>
        <w:contextualSpacing/>
        <w:jc w:val="both"/>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Two PTRS ports for scheme 2a and 2b</w:t>
      </w: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pPr>
        <w:snapToGrid w:val="0"/>
        <w:spacing w:line="240" w:lineRule="auto"/>
        <w:rPr>
          <w:rFonts w:ascii="Times New Roman" w:hAnsi="Times New Roman"/>
          <w:i/>
          <w:iCs/>
          <w:sz w:val="20"/>
          <w:szCs w:val="20"/>
        </w:rPr>
      </w:pPr>
      <w:r>
        <w:rPr>
          <w:rFonts w:ascii="Times New Roman" w:hAnsi="Times New Roman"/>
          <w:i/>
          <w:iCs/>
          <w:sz w:val="20"/>
          <w:szCs w:val="20"/>
        </w:rPr>
        <w:t>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w:t>
      </w:r>
      <w:r>
        <w:rPr>
          <w:rFonts w:hint="eastAsia" w:ascii="Times New Roman" w:hAnsi="Times New Roman"/>
          <w:i/>
          <w:iCs/>
          <w:sz w:val="20"/>
          <w:szCs w:val="20"/>
        </w:rPr>
        <w:t>.</w:t>
      </w:r>
      <w:r>
        <w:rPr>
          <w:rFonts w:ascii="Times New Roman" w:hAnsi="Times New Roman"/>
          <w:i/>
          <w:iCs/>
          <w:sz w:val="20"/>
          <w:szCs w:val="20"/>
        </w:rPr>
        <w:t xml:space="preserve">  </w:t>
      </w:r>
    </w:p>
    <w:p>
      <w:pPr>
        <w:numPr>
          <w:ilvl w:val="0"/>
          <w:numId w:val="5"/>
        </w:numPr>
        <w:autoSpaceDE w:val="0"/>
        <w:autoSpaceDN w:val="0"/>
        <w:adjustRightInd w:val="0"/>
        <w:snapToGrid w:val="0"/>
        <w:spacing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RRC signalling is used to configure the two PTRS ports</w:t>
      </w:r>
    </w:p>
    <w:p>
      <w:pPr>
        <w:numPr>
          <w:ilvl w:val="0"/>
          <w:numId w:val="5"/>
        </w:numPr>
        <w:autoSpaceDE w:val="0"/>
        <w:autoSpaceDN w:val="0"/>
        <w:adjustRightInd w:val="0"/>
        <w:snapToGrid w:val="0"/>
        <w:spacing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Note that whether supporting two PTRS ports is subject to UE capability</w:t>
      </w:r>
    </w:p>
    <w:p>
      <w:pPr>
        <w:numPr>
          <w:ilvl w:val="0"/>
          <w:numId w:val="5"/>
        </w:numPr>
        <w:autoSpaceDE w:val="0"/>
        <w:autoSpaceDN w:val="0"/>
        <w:adjustRightInd w:val="0"/>
        <w:snapToGrid w:val="0"/>
        <w:spacing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FFS: Applicability for other cases</w:t>
      </w:r>
    </w:p>
    <w:p>
      <w:pPr>
        <w:snapToGrid w:val="0"/>
        <w:spacing w:before="180" w:beforeLines="50" w:after="180" w:afterLines="50" w:line="240" w:lineRule="auto"/>
        <w:jc w:val="both"/>
        <w:rPr>
          <w:rFonts w:ascii="Times New Roman" w:hAnsi="Times New Roman" w:eastAsia="宋体"/>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shown in the above agreement, two PTRS ports are agreed for scheme 1a in RAN1# 98bis meeting.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scheme 2a and 2b, we think two PTRS ports are also needed. As shown in Figure 2.1-1 for scheme 2a or 2b, in the case PRG size = 2 PRBs, and PTRS density = 4 PRB. </w:t>
      </w:r>
      <w:r>
        <w:rPr>
          <w:rFonts w:ascii="Times New Roman" w:hAnsi="Times New Roman" w:eastAsia="宋体"/>
          <w:sz w:val="20"/>
          <w:szCs w:val="20"/>
        </w:rPr>
        <w:t>If we just reuse Rel-15 PTRS</w:t>
      </w:r>
      <w:r>
        <w:rPr>
          <w:rFonts w:hint="eastAsia" w:ascii="Times New Roman" w:hAnsi="Times New Roman" w:eastAsia="宋体"/>
          <w:sz w:val="20"/>
          <w:szCs w:val="20"/>
        </w:rPr>
        <w:t xml:space="preserve">, only single PTRS port </w:t>
      </w:r>
      <w:r>
        <w:rPr>
          <w:rFonts w:ascii="Times New Roman" w:hAnsi="Times New Roman" w:eastAsia="宋体"/>
          <w:sz w:val="20"/>
          <w:szCs w:val="20"/>
        </w:rPr>
        <w:t>can be</w:t>
      </w:r>
      <w:r>
        <w:rPr>
          <w:rFonts w:hint="eastAsia" w:ascii="Times New Roman" w:hAnsi="Times New Roman" w:eastAsia="宋体"/>
          <w:sz w:val="20"/>
          <w:szCs w:val="20"/>
        </w:rPr>
        <w:t xml:space="preserve"> supported. </w:t>
      </w:r>
      <w:r>
        <w:rPr>
          <w:rFonts w:ascii="Times New Roman" w:hAnsi="Times New Roman" w:eastAsia="宋体"/>
          <w:sz w:val="20"/>
          <w:szCs w:val="20"/>
        </w:rPr>
        <w:t>Further,</w:t>
      </w:r>
      <w:r>
        <w:rPr>
          <w:rFonts w:hint="eastAsia" w:ascii="Times New Roman" w:hAnsi="Times New Roman" w:eastAsia="宋体"/>
          <w:sz w:val="20"/>
          <w:szCs w:val="20"/>
        </w:rPr>
        <w:t xml:space="preserve"> </w:t>
      </w:r>
      <w:r>
        <w:rPr>
          <w:rFonts w:ascii="Times New Roman" w:hAnsi="Times New Roman" w:eastAsia="宋体"/>
          <w:sz w:val="20"/>
          <w:szCs w:val="20"/>
        </w:rPr>
        <w:t xml:space="preserve">if </w:t>
      </w:r>
      <w:r>
        <w:rPr>
          <w:rFonts w:hint="eastAsia" w:ascii="Times New Roman" w:hAnsi="Times New Roman" w:eastAsia="宋体"/>
          <w:sz w:val="20"/>
          <w:szCs w:val="20"/>
        </w:rPr>
        <w:t>the PTRS</w:t>
      </w:r>
      <w:r>
        <w:rPr>
          <w:rFonts w:ascii="Times New Roman" w:hAnsi="Times New Roman" w:eastAsia="宋体"/>
          <w:sz w:val="20"/>
          <w:szCs w:val="20"/>
        </w:rPr>
        <w:t xml:space="preserve"> port</w:t>
      </w:r>
      <w:r>
        <w:rPr>
          <w:rFonts w:hint="eastAsia" w:ascii="Times New Roman" w:hAnsi="Times New Roman" w:eastAsia="宋体"/>
          <w:sz w:val="20"/>
          <w:szCs w:val="20"/>
        </w:rPr>
        <w:t xml:space="preserve"> </w:t>
      </w:r>
      <w:r>
        <w:rPr>
          <w:rFonts w:ascii="Times New Roman" w:hAnsi="Times New Roman" w:eastAsia="宋体"/>
          <w:sz w:val="20"/>
          <w:szCs w:val="20"/>
        </w:rPr>
        <w:t xml:space="preserve">is </w:t>
      </w:r>
      <w:r>
        <w:rPr>
          <w:rFonts w:hint="eastAsia" w:ascii="Times New Roman" w:hAnsi="Times New Roman" w:eastAsia="宋体"/>
          <w:sz w:val="20"/>
          <w:szCs w:val="20"/>
        </w:rPr>
        <w:t>transmitted in PRB 0, 4, 8, i.e. in PRG 0, 2, 4 which are only used by TRP 0</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f</w:t>
      </w:r>
      <w:r>
        <w:rPr>
          <w:rFonts w:hint="eastAsia" w:ascii="Times New Roman" w:hAnsi="Times New Roman" w:eastAsia="宋体"/>
          <w:sz w:val="20"/>
          <w:szCs w:val="20"/>
        </w:rPr>
        <w:t xml:space="preserve">or PRGs used by TRP1, there is no PTRS transmission. Since the phase noise is different between two TRPs, the phase noise estimation for TRP0 cannot be used for TRP1. </w:t>
      </w:r>
    </w:p>
    <w:p>
      <w:pPr>
        <w:snapToGrid w:val="0"/>
        <w:spacing w:before="180" w:beforeLines="50" w:after="180" w:afterLines="50" w:line="240" w:lineRule="auto"/>
        <w:jc w:val="center"/>
      </w:pPr>
      <w:r>
        <w:drawing>
          <wp:inline distT="0" distB="0" distL="114300" distR="114300">
            <wp:extent cx="4723130" cy="2373630"/>
            <wp:effectExtent l="0" t="0" r="1270" b="7620"/>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
                    <pic:cNvPicPr>
                      <a:picLocks noChangeAspect="1"/>
                    </pic:cNvPicPr>
                  </pic:nvPicPr>
                  <pic:blipFill>
                    <a:blip r:embed="rId8"/>
                    <a:stretch>
                      <a:fillRect/>
                    </a:stretch>
                  </pic:blipFill>
                  <pic:spPr>
                    <a:xfrm>
                      <a:off x="0" y="0"/>
                      <a:ext cx="4723130" cy="2373630"/>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2.1-1 Issue of Rel-15 PTRS density for Multi-TRP</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Hence we support independent PTRS ports for the two TRPs. The function of PTRS frequency density in Table 6.2.3.1-2 in 38.214 can be reused for each PTRS port.</w:t>
      </w:r>
    </w:p>
    <w:p>
      <w:pPr>
        <w:snapToGrid w:val="0"/>
        <w:spacing w:line="240" w:lineRule="auto"/>
        <w:rPr>
          <w:rFonts w:ascii="Times New Roman" w:hAnsi="Times New Roman"/>
          <w:b/>
          <w:bCs/>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3</w:t>
      </w:r>
      <w:r>
        <w:rPr>
          <w:rFonts w:hint="eastAsia" w:ascii="Times New Roman" w:hAnsi="Times New Roman" w:eastAsia="宋体"/>
          <w:b/>
          <w:bCs/>
          <w:i/>
          <w:iCs/>
          <w:sz w:val="20"/>
          <w:szCs w:val="20"/>
        </w:rPr>
        <w:t xml:space="preserve">: </w:t>
      </w:r>
      <w:r>
        <w:rPr>
          <w:rFonts w:ascii="Times New Roman" w:hAnsi="Times New Roman"/>
          <w:b/>
          <w:bCs/>
          <w:i/>
          <w:iCs/>
          <w:sz w:val="20"/>
          <w:szCs w:val="20"/>
        </w:rPr>
        <w:t xml:space="preserve">Support two PTRS ports </w:t>
      </w:r>
      <w:r>
        <w:rPr>
          <w:rFonts w:hint="eastAsia" w:ascii="Times New Roman" w:hAnsi="Times New Roman"/>
          <w:b/>
          <w:bCs/>
          <w:i/>
          <w:iCs/>
          <w:sz w:val="20"/>
          <w:szCs w:val="20"/>
        </w:rPr>
        <w:t>for scheme 2a and 2b</w:t>
      </w:r>
      <w:r>
        <w:rPr>
          <w:rFonts w:ascii="Times New Roman" w:hAnsi="Times New Roman"/>
          <w:b/>
          <w:bCs/>
          <w:i/>
          <w:iCs/>
          <w:sz w:val="20"/>
          <w:szCs w:val="20"/>
        </w:rPr>
        <w:t xml:space="preserve"> if two TCI states are indicated by one TCI code point</w:t>
      </w:r>
      <w:r>
        <w:rPr>
          <w:rFonts w:hint="eastAsia" w:ascii="Times New Roman" w:hAnsi="Times New Roman"/>
          <w:b/>
          <w:bCs/>
          <w:i/>
          <w:iCs/>
          <w:sz w:val="20"/>
          <w:szCs w:val="20"/>
        </w:rPr>
        <w:t>.</w:t>
      </w:r>
    </w:p>
    <w:p>
      <w:pPr>
        <w:numPr>
          <w:ilvl w:val="0"/>
          <w:numId w:val="6"/>
        </w:numPr>
        <w:snapToGrid w:val="0"/>
        <w:spacing w:after="0" w:line="240" w:lineRule="auto"/>
        <w:ind w:left="726" w:hanging="363"/>
        <w:contextualSpacing/>
        <w:jc w:val="both"/>
        <w:rPr>
          <w:rFonts w:ascii="Times New Roman" w:hAnsi="Times New Roman"/>
          <w:b/>
          <w:bCs/>
          <w:i/>
          <w:iCs/>
          <w:sz w:val="20"/>
          <w:szCs w:val="20"/>
        </w:rPr>
      </w:pPr>
      <w:r>
        <w:rPr>
          <w:rFonts w:ascii="Times New Roman" w:hAnsi="Times New Roman"/>
          <w:b/>
          <w:bCs/>
          <w:i/>
          <w:iCs/>
          <w:sz w:val="20"/>
          <w:szCs w:val="20"/>
        </w:rPr>
        <w:t>Th</w:t>
      </w:r>
      <w:r>
        <w:rPr>
          <w:rFonts w:hint="eastAsia" w:ascii="Times New Roman" w:hAnsi="Times New Roman"/>
          <w:b/>
          <w:bCs/>
          <w:i/>
          <w:iCs/>
          <w:sz w:val="20"/>
          <w:szCs w:val="20"/>
        </w:rPr>
        <w:t>e frequency density of PTRS port 0 is determined by the scheduled PRBs associated with the first TCI state.</w:t>
      </w:r>
    </w:p>
    <w:p>
      <w:pPr>
        <w:numPr>
          <w:ilvl w:val="0"/>
          <w:numId w:val="6"/>
        </w:numPr>
        <w:snapToGrid w:val="0"/>
        <w:spacing w:after="0" w:line="240" w:lineRule="auto"/>
        <w:ind w:left="726" w:hanging="363"/>
        <w:contextualSpacing/>
        <w:jc w:val="both"/>
        <w:rPr>
          <w:rFonts w:ascii="Times New Roman" w:hAnsi="Times New Roman"/>
          <w:b/>
          <w:bCs/>
          <w:i/>
          <w:iCs/>
          <w:sz w:val="20"/>
          <w:szCs w:val="20"/>
        </w:rPr>
      </w:pPr>
      <w:r>
        <w:rPr>
          <w:rFonts w:ascii="Times New Roman" w:hAnsi="Times New Roman"/>
          <w:b/>
          <w:bCs/>
          <w:i/>
          <w:iCs/>
          <w:sz w:val="20"/>
          <w:szCs w:val="20"/>
        </w:rPr>
        <w:t>Th</w:t>
      </w:r>
      <w:r>
        <w:rPr>
          <w:rFonts w:hint="eastAsia" w:ascii="Times New Roman" w:hAnsi="Times New Roman"/>
          <w:b/>
          <w:bCs/>
          <w:i/>
          <w:iCs/>
          <w:sz w:val="20"/>
          <w:szCs w:val="20"/>
        </w:rPr>
        <w:t>e frequency density of PTRS port 1 is determined by the scheduled PRBs associated with the second TCI state.</w:t>
      </w:r>
    </w:p>
    <w:p>
      <w:pPr>
        <w:snapToGrid w:val="0"/>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Default beam</w:t>
      </w:r>
    </w:p>
    <w:p>
      <w:pPr>
        <w:pStyle w:val="94"/>
        <w:snapToGrid w:val="0"/>
        <w:spacing w:after="0" w:line="240" w:lineRule="auto"/>
        <w:ind w:left="0" w:leftChars="0"/>
        <w:contextualSpacing/>
        <w:jc w:val="both"/>
        <w:rPr>
          <w:rFonts w:ascii="Times New Roman" w:hAnsi="Times New Roman" w:eastAsia="宋体"/>
          <w:sz w:val="20"/>
          <w:szCs w:val="20"/>
        </w:rPr>
      </w:pPr>
      <w:r>
        <w:rPr>
          <w:rFonts w:hint="eastAsia" w:ascii="Times New Roman" w:hAnsi="Times New Roman" w:eastAsia="宋体"/>
          <w:sz w:val="20"/>
          <w:szCs w:val="20"/>
        </w:rPr>
        <w:t xml:space="preserve">In Rel-15 for PDSCH transmission, </w:t>
      </w:r>
      <w:r>
        <w:rPr>
          <w:rFonts w:hint="eastAsia" w:ascii="Times New Roman" w:hAnsi="Times New Roman"/>
          <w:sz w:val="20"/>
          <w:szCs w:val="20"/>
        </w:rPr>
        <w:t xml:space="preserve">default QCL assumptions are supported </w:t>
      </w:r>
      <w:r>
        <w:rPr>
          <w:rFonts w:hint="eastAsia" w:ascii="Times New Roman" w:hAnsi="Times New Roman" w:eastAsia="宋体"/>
          <w:sz w:val="20"/>
          <w:szCs w:val="20"/>
        </w:rPr>
        <w:t xml:space="preserve">if the offset between the reception of the DL DCI and the corresponding PDSCH is less than the threshold </w:t>
      </w:r>
      <w:r>
        <w:rPr>
          <w:rFonts w:hint="eastAsia" w:ascii="Times New Roman" w:hAnsi="Times New Roman" w:eastAsia="宋体"/>
          <w:i/>
          <w:iCs/>
          <w:sz w:val="20"/>
          <w:szCs w:val="20"/>
        </w:rPr>
        <w:t xml:space="preserve">timeDurationForQCL. </w:t>
      </w:r>
      <w:r>
        <w:rPr>
          <w:rFonts w:hint="eastAsia" w:ascii="Times New Roman" w:hAnsi="Times New Roman" w:eastAsia="宋体"/>
          <w:sz w:val="20"/>
          <w:szCs w:val="20"/>
        </w:rPr>
        <w:t xml:space="preserve">In this case, UE will use the QCL assumption of PDCCH in the lowest CORESET-ID for the PDSCH reception. </w:t>
      </w:r>
      <w:r>
        <w:rPr>
          <w:rFonts w:ascii="Times New Roman" w:hAnsi="Times New Roman" w:eastAsia="宋体"/>
          <w:sz w:val="20"/>
          <w:szCs w:val="20"/>
        </w:rPr>
        <w:t>I</w:t>
      </w:r>
      <w:r>
        <w:rPr>
          <w:rFonts w:hint="eastAsia" w:ascii="Times New Roman" w:hAnsi="Times New Roman" w:eastAsia="宋体"/>
          <w:sz w:val="20"/>
          <w:szCs w:val="20"/>
        </w:rPr>
        <w:t>n Rel-16, for multi-TRP transmission based on single PDCCH design, indicati</w:t>
      </w:r>
      <w:r>
        <w:rPr>
          <w:rFonts w:ascii="Times New Roman" w:hAnsi="Times New Roman" w:eastAsia="宋体"/>
          <w:sz w:val="20"/>
          <w:szCs w:val="20"/>
        </w:rPr>
        <w:t>on</w:t>
      </w:r>
      <w:r>
        <w:rPr>
          <w:rFonts w:hint="eastAsia" w:ascii="Times New Roman" w:hAnsi="Times New Roman" w:eastAsia="宋体"/>
          <w:sz w:val="20"/>
          <w:szCs w:val="20"/>
        </w:rPr>
        <w:t xml:space="preserve"> of two TCI states for one PDSCH has been supported. </w:t>
      </w:r>
      <w:r>
        <w:rPr>
          <w:rFonts w:ascii="Times New Roman" w:hAnsi="Times New Roman" w:eastAsia="宋体"/>
          <w:sz w:val="20"/>
          <w:szCs w:val="20"/>
        </w:rPr>
        <w:t>However,</w:t>
      </w:r>
      <w:r>
        <w:rPr>
          <w:rFonts w:hint="eastAsia" w:ascii="Times New Roman" w:hAnsi="Times New Roman" w:eastAsia="宋体"/>
          <w:sz w:val="20"/>
          <w:szCs w:val="20"/>
        </w:rPr>
        <w:t xml:space="preserve"> the CORESET is only transmitted by one TRP, i.e. configured with one active TCI state, which is less than the number of indicated TCI states for PDSCH DMRS. In this case, the QCL assumption of DMRS group 1 from the first TRP can still follow the QCL assumption of the lowest CORESET ID. However, there is no QCL source for the DMRS group 2 from the second TRP.</w:t>
      </w:r>
      <w:r>
        <w:rPr>
          <w:rFonts w:ascii="Times New Roman" w:hAnsi="Times New Roman" w:eastAsia="宋体"/>
          <w:sz w:val="20"/>
          <w:szCs w:val="20"/>
        </w:rPr>
        <w:t xml:space="preserve"> The support of scheduling PDSCH with offset less than the threshold is important especially if we consider latency sensitive traffic like URLLC for multi-TRP. </w:t>
      </w:r>
    </w:p>
    <w:p>
      <w:pPr>
        <w:pStyle w:val="94"/>
        <w:snapToGrid w:val="0"/>
        <w:spacing w:before="180" w:beforeLines="50" w:after="180" w:afterLines="50" w:line="240" w:lineRule="auto"/>
        <w:ind w:left="0" w:leftChars="0"/>
        <w:contextualSpacing/>
        <w:jc w:val="both"/>
        <w:rPr>
          <w:rFonts w:ascii="Times New Roman" w:hAnsi="Times New Roman"/>
          <w:color w:val="000000"/>
          <w:sz w:val="20"/>
          <w:szCs w:val="20"/>
        </w:rPr>
      </w:pPr>
      <w:r>
        <w:rPr>
          <w:rFonts w:ascii="Times New Roman" w:hAnsi="Times New Roman" w:eastAsia="宋体"/>
          <w:sz w:val="20"/>
          <w:szCs w:val="20"/>
        </w:rPr>
        <w:t>Therefore, two default TCI states should be supported in case of single PDCCH scheduling multi-TRP transmission with scheduling offset less than the threshold.</w:t>
      </w:r>
      <w:r>
        <w:rPr>
          <w:rFonts w:hint="eastAsia" w:ascii="Times New Roman" w:hAnsi="Times New Roman" w:eastAsia="宋体"/>
          <w:sz w:val="20"/>
          <w:szCs w:val="20"/>
        </w:rPr>
        <w:t xml:space="preserve"> Otherwise, it should be clarif</w:t>
      </w:r>
      <w:r>
        <w:rPr>
          <w:rFonts w:ascii="Times New Roman" w:hAnsi="Times New Roman" w:eastAsia="宋体"/>
          <w:sz w:val="20"/>
          <w:szCs w:val="20"/>
        </w:rPr>
        <w:t>ied</w:t>
      </w:r>
      <w:r>
        <w:rPr>
          <w:rFonts w:hint="eastAsia" w:ascii="Times New Roman" w:hAnsi="Times New Roman" w:eastAsia="宋体"/>
          <w:sz w:val="20"/>
          <w:szCs w:val="20"/>
        </w:rPr>
        <w:t xml:space="preserve"> that single PDCCH based NCJT is only used in FR1 in Rel-16, i.e. in the case when </w:t>
      </w:r>
      <w:r>
        <w:rPr>
          <w:rFonts w:hint="eastAsia" w:ascii="Times New Roman" w:hAnsi="Times New Roman"/>
          <w:sz w:val="20"/>
          <w:szCs w:val="20"/>
        </w:rPr>
        <w:t xml:space="preserve">none of TCI states configured for BWP/CC of the scheduled PDSCH </w:t>
      </w:r>
      <w:r>
        <w:rPr>
          <w:rFonts w:hint="eastAsia" w:ascii="Times New Roman" w:hAnsi="Times New Roman"/>
          <w:color w:val="000000"/>
          <w:sz w:val="20"/>
          <w:szCs w:val="20"/>
        </w:rPr>
        <w:t>contains 'QCL-TypeD'.</w:t>
      </w:r>
    </w:p>
    <w:p>
      <w:pPr>
        <w:pStyle w:val="94"/>
        <w:snapToGrid w:val="0"/>
        <w:spacing w:before="180" w:beforeLines="50" w:after="180" w:afterLines="50" w:line="240" w:lineRule="auto"/>
        <w:ind w:left="0" w:leftChars="0"/>
        <w:contextualSpacing/>
        <w:jc w:val="both"/>
        <w:rPr>
          <w:rFonts w:ascii="Times New Roman" w:hAnsi="Times New Roman"/>
          <w:color w:val="000000"/>
          <w:sz w:val="20"/>
          <w:szCs w:val="20"/>
        </w:rPr>
      </w:pPr>
    </w:p>
    <w:p>
      <w:pPr>
        <w:pStyle w:val="94"/>
        <w:snapToGrid w:val="0"/>
        <w:spacing w:after="0" w:line="240" w:lineRule="auto"/>
        <w:ind w:left="0" w:leftChars="0"/>
        <w:contextualSpacing/>
        <w:jc w:val="both"/>
        <w:rPr>
          <w:rFonts w:ascii="Times New Roman" w:hAnsi="Times New Roman" w:eastAsia="宋体"/>
          <w:b/>
          <w:bCs/>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hint="eastAsia" w:ascii="Times New Roman" w:hAnsi="Times New Roman"/>
          <w:b/>
          <w:bCs/>
          <w:i/>
          <w:iCs/>
          <w:sz w:val="20"/>
          <w:szCs w:val="20"/>
        </w:rPr>
        <w:t xml:space="preserve">: For single PDCCH design, </w:t>
      </w:r>
      <w:r>
        <w:rPr>
          <w:rFonts w:hint="eastAsia" w:ascii="Times New Roman" w:hAnsi="Times New Roman" w:eastAsia="宋体"/>
          <w:b/>
          <w:bCs/>
          <w:i/>
          <w:iCs/>
          <w:sz w:val="20"/>
          <w:szCs w:val="20"/>
        </w:rPr>
        <w:t>if the offset between the reception of the DL DCI and the corresponding PDSCH is less than the threshold timeDurationForQCL, the default QCL assumption of PDSCH should be enhanced.</w:t>
      </w:r>
    </w:p>
    <w:p>
      <w:pPr>
        <w:pStyle w:val="94"/>
        <w:numPr>
          <w:ilvl w:val="0"/>
          <w:numId w:val="7"/>
        </w:numPr>
        <w:snapToGrid w:val="0"/>
        <w:spacing w:after="0" w:line="240" w:lineRule="auto"/>
        <w:ind w:left="840" w:leftChars="0"/>
        <w:contextualSpacing/>
        <w:jc w:val="both"/>
        <w:rPr>
          <w:rFonts w:ascii="Times New Roman" w:hAnsi="Times New Roman"/>
          <w:b/>
          <w:bCs/>
          <w:i/>
          <w:iCs/>
          <w:sz w:val="20"/>
          <w:szCs w:val="20"/>
        </w:rPr>
      </w:pPr>
      <w:r>
        <w:rPr>
          <w:rFonts w:ascii="Times New Roman" w:hAnsi="Times New Roman"/>
          <w:b/>
          <w:bCs/>
          <w:i/>
          <w:iCs/>
          <w:sz w:val="20"/>
          <w:szCs w:val="20"/>
        </w:rPr>
        <w:t>Support two default TCI states which</w:t>
      </w:r>
      <w:r>
        <w:rPr>
          <w:rFonts w:hint="eastAsia" w:ascii="Times New Roman" w:hAnsi="Times New Roman"/>
          <w:b/>
          <w:bCs/>
          <w:i/>
          <w:iCs/>
          <w:sz w:val="20"/>
          <w:szCs w:val="20"/>
        </w:rPr>
        <w:t xml:space="preserve"> are</w:t>
      </w:r>
      <w:r>
        <w:rPr>
          <w:rFonts w:ascii="Times New Roman" w:hAnsi="Times New Roman"/>
          <w:b/>
          <w:bCs/>
          <w:i/>
          <w:iCs/>
          <w:sz w:val="20"/>
          <w:szCs w:val="20"/>
        </w:rPr>
        <w:t xml:space="preserve"> used for the two DMRS groups of PDSCH respectively if the offset between the DL DCI and the PDSCH is less than the threshold. </w:t>
      </w:r>
    </w:p>
    <w:p>
      <w:pPr>
        <w:pStyle w:val="94"/>
        <w:snapToGrid w:val="0"/>
        <w:spacing w:after="0" w:line="240" w:lineRule="auto"/>
        <w:ind w:left="0" w:leftChars="0"/>
        <w:contextualSpacing/>
        <w:jc w:val="both"/>
        <w:rPr>
          <w:rFonts w:ascii="Times New Roman" w:hAnsi="Times New Roman"/>
          <w:i/>
          <w:iCs/>
          <w:sz w:val="20"/>
          <w:szCs w:val="20"/>
        </w:rPr>
      </w:pPr>
    </w:p>
    <w:p>
      <w:pPr>
        <w:pStyle w:val="3"/>
        <w:snapToGrid w:val="0"/>
        <w:spacing w:line="240" w:lineRule="auto"/>
        <w:rPr>
          <w:rFonts w:ascii="Arial" w:hAnsi="Arial" w:cs="Arial"/>
          <w:sz w:val="24"/>
          <w:lang w:val="en-US"/>
        </w:rPr>
      </w:pPr>
      <w:r>
        <w:rPr>
          <w:rFonts w:hint="eastAsia" w:ascii="Arial" w:hAnsi="Arial" w:cs="Arial"/>
          <w:sz w:val="24"/>
          <w:lang w:val="en-US"/>
        </w:rPr>
        <w:t>Multiple PDCCH design</w:t>
      </w: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BD/CCE restriction</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After the RAN1#98 meeting, one email agreement is achieved on BD/CCE restriction for multi-DCI based multi-TRP transmission.</w:t>
      </w:r>
    </w:p>
    <w:p>
      <w:pPr>
        <w:snapToGrid w:val="0"/>
        <w:spacing w:before="180" w:beforeLines="50" w:after="180" w:afterLines="50" w:line="240" w:lineRule="auto"/>
        <w:jc w:val="both"/>
        <w:rPr>
          <w:rFonts w:ascii="Times New Roman" w:hAnsi="Times New Roman" w:eastAsia="宋体"/>
          <w:i/>
          <w:iCs/>
          <w:sz w:val="20"/>
          <w:szCs w:val="20"/>
          <w:u w:val="single"/>
        </w:rPr>
      </w:pPr>
      <w:r>
        <w:rPr>
          <w:rFonts w:hint="eastAsia" w:ascii="Times New Roman" w:hAnsi="Times New Roman" w:eastAsia="宋体"/>
          <w:i/>
          <w:iCs/>
          <w:sz w:val="20"/>
          <w:szCs w:val="20"/>
          <w:u w:val="single"/>
        </w:rPr>
        <w:t>Agreement by email discussion</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i/>
          <w:iCs/>
          <w:sz w:val="20"/>
          <w:szCs w:val="20"/>
        </w:rPr>
        <w:t>- If higher layer index is configured per CORESET for the UE supporting multi-DCI based multi-TRP transmission, support the following principles for the maximum numbers of BD/CCE for multi-DCI based multi-TRP transmission:</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Total limits for BD/CCE numbers across configured CCs are calculated the same as that in Rel. 15 based on </w:t>
      </w:r>
      <w:r>
        <w:rPr>
          <w:rFonts w:ascii="Times New Roman" w:hAnsi="Times New Roman"/>
          <w:i/>
          <w:iCs/>
          <w:sz w:val="20"/>
          <w:szCs w:val="20"/>
        </w:rPr>
        <w:drawing>
          <wp:inline distT="0" distB="0" distL="114300" distR="114300">
            <wp:extent cx="285750" cy="190500"/>
            <wp:effectExtent l="0" t="0" r="0" b="0"/>
            <wp:docPr id="1"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6"/>
                    <pic:cNvPicPr>
                      <a:picLocks noChangeAspect="1"/>
                    </pic:cNvPicPr>
                  </pic:nvPicPr>
                  <pic:blipFill>
                    <a:blip r:embed="rId9"/>
                    <a:stretch>
                      <a:fillRect/>
                    </a:stretch>
                  </pic:blipFill>
                  <pic:spPr>
                    <a:xfrm>
                      <a:off x="0" y="0"/>
                      <a:ext cx="285750" cy="190500"/>
                    </a:xfrm>
                    <a:prstGeom prst="rect">
                      <a:avLst/>
                    </a:prstGeom>
                    <a:noFill/>
                    <a:ln w="9525">
                      <a:noFill/>
                    </a:ln>
                  </pic:spPr>
                </pic:pic>
              </a:graphicData>
            </a:graphic>
          </wp:inline>
        </w:drawing>
      </w:r>
      <w:r>
        <w:rPr>
          <w:rFonts w:hint="eastAsia" w:ascii="Times New Roman" w:hAnsi="Times New Roman"/>
          <w:i/>
          <w:iCs/>
          <w:sz w:val="20"/>
          <w:szCs w:val="20"/>
        </w:rPr>
        <w:t>   as described in subclause 10 in TS38.213;</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 (Bound derived from pdcch-BlindDetectionCA) When determining the maximum numbers of monitored PDCCH candidates and non-overlapped CCEs per slot for total limits, </w:t>
      </w:r>
      <w:r>
        <w:rPr>
          <w:rFonts w:ascii="Times New Roman" w:hAnsi="Times New Roman"/>
          <w:i/>
          <w:iCs/>
          <w:sz w:val="20"/>
          <w:szCs w:val="20"/>
        </w:rPr>
        <w:drawing>
          <wp:inline distT="0" distB="0" distL="114300" distR="114300">
            <wp:extent cx="962025" cy="209550"/>
            <wp:effectExtent l="0" t="0" r="9525" b="0"/>
            <wp:docPr id="23"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 descr="IMG_257"/>
                    <pic:cNvPicPr>
                      <a:picLocks noChangeAspect="1"/>
                    </pic:cNvPicPr>
                  </pic:nvPicPr>
                  <pic:blipFill>
                    <a:blip r:embed="rId10"/>
                    <a:stretch>
                      <a:fillRect/>
                    </a:stretch>
                  </pic:blipFill>
                  <pic:spPr>
                    <a:xfrm>
                      <a:off x="0" y="0"/>
                      <a:ext cx="962025" cy="209550"/>
                    </a:xfrm>
                    <a:prstGeom prst="rect">
                      <a:avLst/>
                    </a:prstGeom>
                    <a:noFill/>
                    <a:ln w="9525">
                      <a:noFill/>
                    </a:ln>
                  </pic:spPr>
                </pic:pic>
              </a:graphicData>
            </a:graphic>
          </wp:inline>
        </w:drawing>
      </w:r>
      <w:r>
        <w:rPr>
          <w:rFonts w:hint="eastAsia" w:ascii="Times New Roman" w:hAnsi="Times New Roman"/>
          <w:i/>
          <w:iCs/>
          <w:sz w:val="20"/>
          <w:szCs w:val="20"/>
        </w:rPr>
        <w:t>  defined in 38.213, the number of DL serving cell(s) configured with multi-DCI based multi-TRP transmission is increased as r times.</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(Bound independent of pdcch-BlindDetectionCA) The maximum BD/CCE numbers,  </w:t>
      </w:r>
      <w:r>
        <w:rPr>
          <w:rFonts w:hint="eastAsia" w:ascii="Times New Roman" w:hAnsi="Times New Roman"/>
          <w:i/>
          <w:iCs/>
          <w:sz w:val="20"/>
          <w:szCs w:val="20"/>
        </w:rPr>
        <w:drawing>
          <wp:inline distT="0" distB="0" distL="114300" distR="114300">
            <wp:extent cx="552450" cy="238125"/>
            <wp:effectExtent l="0" t="0" r="0" b="8255"/>
            <wp:docPr id="26" name="图片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descr="IMG_258"/>
                    <pic:cNvPicPr>
                      <a:picLocks noChangeAspect="1"/>
                    </pic:cNvPicPr>
                  </pic:nvPicPr>
                  <pic:blipFill>
                    <a:blip r:embed="rId11"/>
                    <a:stretch>
                      <a:fillRect/>
                    </a:stretch>
                  </pic:blipFill>
                  <pic:spPr>
                    <a:xfrm>
                      <a:off x="0" y="0"/>
                      <a:ext cx="552450" cy="238125"/>
                    </a:xfrm>
                    <a:prstGeom prst="rect">
                      <a:avLst/>
                    </a:prstGeom>
                    <a:noFill/>
                    <a:ln w="9525">
                      <a:noFill/>
                    </a:ln>
                  </pic:spPr>
                </pic:pic>
              </a:graphicData>
            </a:graphic>
          </wp:inline>
        </w:drawing>
      </w:r>
      <w:r>
        <w:rPr>
          <w:rFonts w:hint="eastAsia" w:ascii="Times New Roman" w:hAnsi="Times New Roman"/>
          <w:i/>
          <w:iCs/>
          <w:sz w:val="20"/>
          <w:szCs w:val="20"/>
        </w:rPr>
        <w:t> and</w:t>
      </w:r>
      <w:r>
        <w:rPr>
          <w:rFonts w:hint="eastAsia" w:ascii="Times New Roman" w:hAnsi="Times New Roman"/>
          <w:i/>
          <w:iCs/>
          <w:sz w:val="20"/>
          <w:szCs w:val="20"/>
        </w:rPr>
        <w:drawing>
          <wp:inline distT="0" distB="0" distL="114300" distR="114300">
            <wp:extent cx="485775" cy="238125"/>
            <wp:effectExtent l="0" t="0" r="9525" b="8255"/>
            <wp:docPr id="19" name="图片 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IMG_259"/>
                    <pic:cNvPicPr>
                      <a:picLocks noChangeAspect="1"/>
                    </pic:cNvPicPr>
                  </pic:nvPicPr>
                  <pic:blipFill>
                    <a:blip r:embed="rId12"/>
                    <a:stretch>
                      <a:fillRect/>
                    </a:stretch>
                  </pic:blipFill>
                  <pic:spPr>
                    <a:xfrm>
                      <a:off x="0" y="0"/>
                      <a:ext cx="485775" cy="238125"/>
                    </a:xfrm>
                    <a:prstGeom prst="rect">
                      <a:avLst/>
                    </a:prstGeom>
                    <a:noFill/>
                    <a:ln w="9525">
                      <a:noFill/>
                    </a:ln>
                  </pic:spPr>
                </pic:pic>
              </a:graphicData>
            </a:graphic>
          </wp:inline>
        </w:drawing>
      </w:r>
      <w:r>
        <w:rPr>
          <w:rFonts w:hint="eastAsia" w:ascii="Times New Roman" w:hAnsi="Times New Roman"/>
          <w:i/>
          <w:iCs/>
          <w:sz w:val="20"/>
          <w:szCs w:val="20"/>
        </w:rPr>
        <w:t>, are increased as r times the Rel-15 values defined in Table 10.1-2 and Table 10.1-3 in 38.213 for a serving cell configured with multi-DCI based multi-TRP</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FFS, bounds derived from or independent of pdcch-BlindDetectionMCG, or pdcch-BlindDetectionSCG</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i/>
          <w:iCs/>
          <w:sz w:val="20"/>
          <w:szCs w:val="20"/>
        </w:rPr>
        <w:t>- If higher layer index is configured per CORESET for the UE supporting multi-DCI based multi-TRP transmission, support the followings for the principles above:</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ascii="Times New Roman" w:hAnsi="Times New Roman"/>
          <w:i/>
          <w:iCs/>
          <w:sz w:val="20"/>
          <w:szCs w:val="20"/>
        </w:rPr>
        <w:t>  </w:t>
      </w:r>
      <w:r>
        <w:rPr>
          <w:rFonts w:ascii="Times New Roman" w:hAnsi="Times New Roman"/>
          <w:i/>
          <w:iCs/>
          <w:sz w:val="20"/>
          <w:szCs w:val="20"/>
        </w:rPr>
        <w:drawing>
          <wp:inline distT="0" distB="0" distL="114300" distR="114300">
            <wp:extent cx="342900" cy="209550"/>
            <wp:effectExtent l="0" t="0" r="0" b="0"/>
            <wp:docPr id="21" name="图片 7"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descr="IMG_260"/>
                    <pic:cNvPicPr>
                      <a:picLocks noChangeAspect="1"/>
                    </pic:cNvPicPr>
                  </pic:nvPicPr>
                  <pic:blipFill>
                    <a:blip r:embed="rId13"/>
                    <a:stretch>
                      <a:fillRect/>
                    </a:stretch>
                  </pic:blipFill>
                  <pic:spPr>
                    <a:xfrm>
                      <a:off x="0" y="0"/>
                      <a:ext cx="342900" cy="209550"/>
                    </a:xfrm>
                    <a:prstGeom prst="rect">
                      <a:avLst/>
                    </a:prstGeom>
                    <a:noFill/>
                    <a:ln w="9525">
                      <a:noFill/>
                    </a:ln>
                  </pic:spPr>
                </pic:pic>
              </a:graphicData>
            </a:graphic>
          </wp:inline>
        </w:drawing>
      </w:r>
      <w:r>
        <w:rPr>
          <w:rFonts w:hint="eastAsia" w:ascii="Times New Roman" w:hAnsi="Times New Roman"/>
          <w:i/>
          <w:iCs/>
          <w:sz w:val="20"/>
          <w:szCs w:val="20"/>
        </w:rPr>
        <w:t> is replaced with </w:t>
      </w:r>
      <w:r>
        <w:rPr>
          <w:rFonts w:ascii="Times New Roman" w:hAnsi="Times New Roman"/>
          <w:i/>
          <w:iCs/>
          <w:sz w:val="20"/>
          <w:szCs w:val="20"/>
        </w:rPr>
        <w:drawing>
          <wp:inline distT="0" distB="0" distL="114300" distR="114300">
            <wp:extent cx="1009650" cy="219075"/>
            <wp:effectExtent l="0" t="0" r="0" b="9525"/>
            <wp:docPr id="25" name="图片 8"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descr="IMG_261"/>
                    <pic:cNvPicPr>
                      <a:picLocks noChangeAspect="1"/>
                    </pic:cNvPicPr>
                  </pic:nvPicPr>
                  <pic:blipFill>
                    <a:blip r:embed="rId14"/>
                    <a:stretch>
                      <a:fillRect/>
                    </a:stretch>
                  </pic:blipFill>
                  <pic:spPr>
                    <a:xfrm>
                      <a:off x="0" y="0"/>
                      <a:ext cx="1009650" cy="219075"/>
                    </a:xfrm>
                    <a:prstGeom prst="rect">
                      <a:avLst/>
                    </a:prstGeom>
                    <a:noFill/>
                    <a:ln w="9525">
                      <a:noFill/>
                    </a:ln>
                  </pic:spPr>
                </pic:pic>
              </a:graphicData>
            </a:graphic>
          </wp:inline>
        </w:drawing>
      </w:r>
      <w:r>
        <w:rPr>
          <w:rFonts w:hint="eastAsia" w:ascii="Times New Roman" w:hAnsi="Times New Roman"/>
          <w:i/>
          <w:iCs/>
          <w:sz w:val="20"/>
          <w:szCs w:val="20"/>
        </w:rPr>
        <w:t>, where </w:t>
      </w:r>
      <w:r>
        <w:rPr>
          <w:rFonts w:ascii="Times New Roman" w:hAnsi="Times New Roman"/>
          <w:i/>
          <w:iCs/>
          <w:sz w:val="20"/>
          <w:szCs w:val="20"/>
        </w:rPr>
        <w:drawing>
          <wp:inline distT="0" distB="0" distL="114300" distR="114300">
            <wp:extent cx="361950" cy="219075"/>
            <wp:effectExtent l="0" t="0" r="0" b="9525"/>
            <wp:docPr id="22" name="图片 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descr="IMG_262"/>
                    <pic:cNvPicPr>
                      <a:picLocks noChangeAspect="1"/>
                    </pic:cNvPicPr>
                  </pic:nvPicPr>
                  <pic:blipFill>
                    <a:blip r:embed="rId15"/>
                    <a:stretch>
                      <a:fillRect/>
                    </a:stretch>
                  </pic:blipFill>
                  <pic:spPr>
                    <a:xfrm>
                      <a:off x="0" y="0"/>
                      <a:ext cx="361950" cy="219075"/>
                    </a:xfrm>
                    <a:prstGeom prst="rect">
                      <a:avLst/>
                    </a:prstGeom>
                    <a:noFill/>
                    <a:ln w="9525">
                      <a:noFill/>
                    </a:ln>
                  </pic:spPr>
                </pic:pic>
              </a:graphicData>
            </a:graphic>
          </wp:inline>
        </w:drawing>
      </w:r>
      <w:r>
        <w:rPr>
          <w:rFonts w:hint="eastAsia" w:ascii="Times New Roman" w:hAnsi="Times New Roman"/>
          <w:i/>
          <w:iCs/>
          <w:sz w:val="20"/>
          <w:szCs w:val="20"/>
        </w:rPr>
        <w:t> is the number of configured DL serving cell(s) without multi-DCI based multi-TRP with active DL BWP with SCS </w:t>
      </w:r>
      <w:r>
        <w:rPr>
          <w:rFonts w:ascii="Times New Roman" w:hAnsi="Times New Roman"/>
          <w:i/>
          <w:iCs/>
          <w:sz w:val="20"/>
          <w:szCs w:val="20"/>
        </w:rPr>
        <w:drawing>
          <wp:inline distT="0" distB="0" distL="114300" distR="114300">
            <wp:extent cx="76200" cy="161925"/>
            <wp:effectExtent l="0" t="0" r="0" b="6350"/>
            <wp:docPr id="24" name="图片 10"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descr="IMG_263"/>
                    <pic:cNvPicPr>
                      <a:picLocks noChangeAspect="1"/>
                    </pic:cNvPicPr>
                  </pic:nvPicPr>
                  <pic:blipFill>
                    <a:blip r:embed="rId16"/>
                    <a:stretch>
                      <a:fillRect/>
                    </a:stretch>
                  </pic:blipFill>
                  <pic:spPr>
                    <a:xfrm>
                      <a:off x="0" y="0"/>
                      <a:ext cx="76200" cy="161925"/>
                    </a:xfrm>
                    <a:prstGeom prst="rect">
                      <a:avLst/>
                    </a:prstGeom>
                    <a:noFill/>
                    <a:ln w="9525">
                      <a:noFill/>
                    </a:ln>
                  </pic:spPr>
                </pic:pic>
              </a:graphicData>
            </a:graphic>
          </wp:inline>
        </w:drawing>
      </w:r>
      <w:r>
        <w:rPr>
          <w:rFonts w:hint="eastAsia" w:ascii="Times New Roman" w:hAnsi="Times New Roman"/>
          <w:i/>
          <w:iCs/>
          <w:sz w:val="20"/>
          <w:szCs w:val="20"/>
        </w:rPr>
        <w:t>, and </w:t>
      </w:r>
      <w:r>
        <w:rPr>
          <w:rFonts w:ascii="Times New Roman" w:hAnsi="Times New Roman"/>
          <w:i/>
          <w:iCs/>
          <w:sz w:val="20"/>
          <w:szCs w:val="20"/>
        </w:rPr>
        <w:drawing>
          <wp:inline distT="0" distB="0" distL="114300" distR="114300">
            <wp:extent cx="361950" cy="219075"/>
            <wp:effectExtent l="0" t="0" r="0" b="9525"/>
            <wp:docPr id="2" name="图片 11"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IMG_264"/>
                    <pic:cNvPicPr>
                      <a:picLocks noChangeAspect="1"/>
                    </pic:cNvPicPr>
                  </pic:nvPicPr>
                  <pic:blipFill>
                    <a:blip r:embed="rId17"/>
                    <a:stretch>
                      <a:fillRect/>
                    </a:stretch>
                  </pic:blipFill>
                  <pic:spPr>
                    <a:xfrm>
                      <a:off x="0" y="0"/>
                      <a:ext cx="361950" cy="219075"/>
                    </a:xfrm>
                    <a:prstGeom prst="rect">
                      <a:avLst/>
                    </a:prstGeom>
                    <a:noFill/>
                    <a:ln w="9525">
                      <a:noFill/>
                    </a:ln>
                  </pic:spPr>
                </pic:pic>
              </a:graphicData>
            </a:graphic>
          </wp:inline>
        </w:drawing>
      </w:r>
      <w:r>
        <w:rPr>
          <w:rFonts w:hint="eastAsia" w:ascii="Times New Roman" w:hAnsi="Times New Roman"/>
          <w:i/>
          <w:iCs/>
          <w:sz w:val="20"/>
          <w:szCs w:val="20"/>
        </w:rPr>
        <w:t> is the number of configured DL serving cell(s) with multi-DCI based multi-TRP with active DL BWP with SCS </w:t>
      </w:r>
      <w:r>
        <w:rPr>
          <w:rFonts w:ascii="Times New Roman" w:hAnsi="Times New Roman"/>
          <w:i/>
          <w:iCs/>
          <w:sz w:val="20"/>
          <w:szCs w:val="20"/>
        </w:rPr>
        <w:drawing>
          <wp:inline distT="0" distB="0" distL="114300" distR="114300">
            <wp:extent cx="76200" cy="161925"/>
            <wp:effectExtent l="0" t="0" r="0" b="6350"/>
            <wp:docPr id="20" name="图片 12"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IMG_265"/>
                    <pic:cNvPicPr>
                      <a:picLocks noChangeAspect="1"/>
                    </pic:cNvPicPr>
                  </pic:nvPicPr>
                  <pic:blipFill>
                    <a:blip r:embed="rId16"/>
                    <a:stretch>
                      <a:fillRect/>
                    </a:stretch>
                  </pic:blipFill>
                  <pic:spPr>
                    <a:xfrm>
                      <a:off x="0" y="0"/>
                      <a:ext cx="76200" cy="161925"/>
                    </a:xfrm>
                    <a:prstGeom prst="rect">
                      <a:avLst/>
                    </a:prstGeom>
                    <a:noFill/>
                    <a:ln w="9525">
                      <a:noFill/>
                    </a:ln>
                  </pic:spPr>
                </pic:pic>
              </a:graphicData>
            </a:graphic>
          </wp:inline>
        </w:drawing>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The value range of r is [1, 2], and it depends on UE capability.</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ascii="Times New Roman" w:hAnsi="Times New Roman"/>
          <w:i/>
          <w:iCs/>
          <w:sz w:val="20"/>
          <w:szCs w:val="20"/>
        </w:rPr>
        <w:t>UE indicates pdcch-BlindDetectionCA when it is possible to configure A+B DL cells to the UE with A&gt;= 0 DL serving cells without multi-DCI based multi-TRP and B &gt;=0  DL serving cells with multi-DCI based multi-TRP such that A+r∙B&gt;4</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ascii="Times New Roman" w:hAnsi="Times New Roman"/>
          <w:i/>
          <w:iCs/>
          <w:sz w:val="20"/>
          <w:szCs w:val="20"/>
        </w:rPr>
        <w:t>When UE does not provide pdcch-BlindDetectionCA, the value of N^cap_cells is a+r.b, where a is the number of configured DL serving cells without multi-DCI based multi-TRP, and b is the number of configured DL serving cells with multi-DCI based multi-TRP.</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FFS: other conditions for UE capability reporting are applied to multi-DCI based multi-TRP transmission</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i/>
          <w:iCs/>
          <w:sz w:val="20"/>
          <w:szCs w:val="20"/>
        </w:rPr>
        <w:t>- FFS: details on how to determine a DL serving cell configured with multi-DCI based multi-TRP transmission and associated value of r.</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i/>
          <w:iCs/>
          <w:sz w:val="20"/>
          <w:szCs w:val="20"/>
        </w:rPr>
        <w:t>- FFS: Whether/how to enhance PDCCH mapping/dropping rule in a DL serving cell configured with multi-DCI based multi-TRP transmission in case of PDCCH overbooking.</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i/>
          <w:iCs/>
          <w:sz w:val="20"/>
          <w:szCs w:val="20"/>
        </w:rPr>
        <w:t>- Note that how to capture above into the spec can be up to the editor.</w:t>
      </w:r>
    </w:p>
    <w:p>
      <w:pPr>
        <w:pStyle w:val="94"/>
        <w:snapToGrid w:val="0"/>
        <w:spacing w:after="0" w:line="240" w:lineRule="auto"/>
        <w:ind w:left="0" w:leftChars="0"/>
        <w:contextualSpacing/>
        <w:jc w:val="both"/>
        <w:rPr>
          <w:rFonts w:ascii="Times New Roman" w:hAnsi="Times New Roman"/>
          <w:i/>
          <w:iCs/>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Regarding the FFS bullet on how to determine a DL serving cell configured with multi-DCI based multi-TRP transmission, we think there are two ways to identify a DL serving cell is with or without multi-DCI based multi-TRP. </w:t>
      </w:r>
    </w:p>
    <w:p>
      <w:pPr>
        <w:pStyle w:val="94"/>
        <w:numPr>
          <w:ilvl w:val="0"/>
          <w:numId w:val="7"/>
        </w:numPr>
        <w:snapToGrid w:val="0"/>
        <w:spacing w:after="0" w:line="240" w:lineRule="auto"/>
        <w:ind w:left="840" w:leftChars="0"/>
        <w:contextualSpacing/>
        <w:jc w:val="both"/>
        <w:rPr>
          <w:rFonts w:ascii="Times New Roman" w:hAnsi="Times New Roman"/>
          <w:iCs/>
          <w:sz w:val="20"/>
          <w:szCs w:val="20"/>
        </w:rPr>
      </w:pPr>
      <w:r>
        <w:rPr>
          <w:rFonts w:ascii="Times New Roman" w:hAnsi="Times New Roman"/>
          <w:iCs/>
          <w:sz w:val="20"/>
          <w:szCs w:val="20"/>
        </w:rPr>
        <w:t xml:space="preserve">The first way is to rely on whether </w:t>
      </w:r>
      <w:r>
        <w:rPr>
          <w:rFonts w:hint="eastAsia" w:ascii="Times New Roman" w:hAnsi="Times New Roman"/>
          <w:iCs/>
          <w:sz w:val="20"/>
          <w:szCs w:val="20"/>
        </w:rPr>
        <w:t>the active</w:t>
      </w:r>
      <w:r>
        <w:rPr>
          <w:rFonts w:ascii="Times New Roman" w:hAnsi="Times New Roman"/>
          <w:iCs/>
          <w:sz w:val="20"/>
          <w:szCs w:val="20"/>
        </w:rPr>
        <w:t xml:space="preserve"> BWP in the serving cell contain CORESETs with multiple higher layer indices, i.e. have bo</w:t>
      </w:r>
      <w:r>
        <w:rPr>
          <w:rFonts w:hint="eastAsia" w:ascii="Times New Roman" w:hAnsi="Times New Roman"/>
          <w:iCs/>
          <w:sz w:val="20"/>
          <w:szCs w:val="20"/>
        </w:rPr>
        <w:t>t</w:t>
      </w:r>
      <w:r>
        <w:rPr>
          <w:rFonts w:ascii="Times New Roman" w:hAnsi="Times New Roman"/>
          <w:iCs/>
          <w:sz w:val="20"/>
          <w:szCs w:val="20"/>
        </w:rPr>
        <w:t>h value 0 and 1. Specifically, </w:t>
      </w:r>
      <w:r>
        <w:rPr>
          <w:rFonts w:hint="eastAsia" w:ascii="Times New Roman" w:hAnsi="Times New Roman"/>
          <w:iCs/>
          <w:sz w:val="20"/>
          <w:szCs w:val="20"/>
        </w:rPr>
        <w:t>the active BWP</w:t>
      </w:r>
      <w:r>
        <w:rPr>
          <w:rFonts w:ascii="Times New Roman" w:hAnsi="Times New Roman"/>
          <w:iCs/>
          <w:sz w:val="20"/>
          <w:szCs w:val="20"/>
        </w:rPr>
        <w:t xml:space="preserve"> in the serving cell is configured with two different higher layer indices in the configured CORESETs, the serving cell should be assumed as a DL serving cell with multi-DCI based multi-TRP. Otherwise, it should be a DL serving cell without multi-DCI based multi-TRP. In this case, for cross-carrier scheduling, each scheduled CC should be separately counted.</w:t>
      </w:r>
    </w:p>
    <w:p>
      <w:pPr>
        <w:pStyle w:val="94"/>
        <w:numPr>
          <w:ilvl w:val="0"/>
          <w:numId w:val="7"/>
        </w:numPr>
        <w:snapToGrid w:val="0"/>
        <w:spacing w:after="0" w:line="240" w:lineRule="auto"/>
        <w:ind w:left="840" w:leftChars="0"/>
        <w:contextualSpacing/>
        <w:jc w:val="both"/>
        <w:rPr>
          <w:rFonts w:ascii="Times New Roman" w:hAnsi="Times New Roman"/>
          <w:iCs/>
          <w:sz w:val="20"/>
          <w:szCs w:val="20"/>
        </w:rPr>
      </w:pPr>
      <w:r>
        <w:rPr>
          <w:rFonts w:ascii="Times New Roman" w:hAnsi="Times New Roman"/>
          <w:iCs/>
          <w:sz w:val="20"/>
          <w:szCs w:val="20"/>
        </w:rPr>
        <w:t xml:space="preserve">The second way is to depend on whether two PDSCH scrambling IDs are configured, i.e. if </w:t>
      </w:r>
      <w:r>
        <w:rPr>
          <w:rFonts w:hint="eastAsia" w:ascii="Times New Roman" w:hAnsi="Times New Roman"/>
          <w:iCs/>
          <w:sz w:val="20"/>
          <w:szCs w:val="20"/>
        </w:rPr>
        <w:t>the active</w:t>
      </w:r>
      <w:r>
        <w:rPr>
          <w:rFonts w:ascii="Times New Roman" w:hAnsi="Times New Roman"/>
          <w:iCs/>
          <w:sz w:val="20"/>
          <w:szCs w:val="20"/>
        </w:rPr>
        <w:t xml:space="preserve"> BWP in the serving cell contains two PDSCH scrambling IDs, it should be a DL serving cell with multi-DCI based multi-TRP. Otherwise, it should be a DL serving cell without multi-DCI based multi-TRP.</w:t>
      </w:r>
    </w:p>
    <w:p>
      <w:pPr>
        <w:snapToGrid w:val="0"/>
        <w:spacing w:after="0" w:line="240" w:lineRule="auto"/>
        <w:jc w:val="both"/>
        <w:rPr>
          <w:rFonts w:ascii="Times New Roman" w:hAnsi="Times New Roman" w:eastAsia="宋体"/>
          <w:b/>
          <w:bCs/>
          <w:i/>
          <w:iCs/>
          <w:sz w:val="20"/>
          <w:szCs w:val="20"/>
        </w:rPr>
      </w:pPr>
    </w:p>
    <w:p>
      <w:pPr>
        <w:snapToGrid w:val="0"/>
        <w:spacing w:after="0" w:line="240" w:lineRule="auto"/>
        <w:jc w:val="both"/>
        <w:rPr>
          <w:rFonts w:ascii="Times New Roman" w:hAnsi="Times New Roman" w:eastAsia="宋体"/>
          <w:b/>
          <w:bCs/>
          <w:i/>
          <w:iCs/>
          <w:sz w:val="20"/>
          <w:szCs w:val="20"/>
        </w:rPr>
      </w:pPr>
      <w:bookmarkStart w:id="6" w:name="OLE_LINK1"/>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5</w:t>
      </w:r>
      <w:r>
        <w:rPr>
          <w:rFonts w:hint="eastAsia" w:ascii="Times New Roman" w:hAnsi="Times New Roman" w:eastAsia="宋体"/>
          <w:b/>
          <w:bCs/>
          <w:i/>
          <w:iCs/>
          <w:sz w:val="20"/>
          <w:szCs w:val="20"/>
        </w:rPr>
        <w:t xml:space="preserve">: One of following options should be adopted to determine if a DL serving cell is configured with multi-DCI based multi-TRP transmission </w:t>
      </w:r>
    </w:p>
    <w:p>
      <w:pPr>
        <w:pStyle w:val="94"/>
        <w:numPr>
          <w:ilvl w:val="0"/>
          <w:numId w:val="7"/>
        </w:numPr>
        <w:snapToGrid w:val="0"/>
        <w:spacing w:after="0" w:line="240" w:lineRule="auto"/>
        <w:ind w:left="840" w:leftChars="0"/>
        <w:contextualSpacing/>
        <w:jc w:val="both"/>
        <w:rPr>
          <w:rFonts w:ascii="Times New Roman" w:hAnsi="Times New Roman"/>
          <w:b/>
          <w:bCs/>
          <w:i/>
          <w:iCs/>
          <w:sz w:val="20"/>
          <w:szCs w:val="20"/>
        </w:rPr>
      </w:pPr>
      <w:r>
        <w:rPr>
          <w:rFonts w:hint="eastAsia" w:ascii="Times New Roman" w:hAnsi="Times New Roman"/>
          <w:b/>
          <w:bCs/>
          <w:i/>
          <w:iCs/>
          <w:sz w:val="20"/>
          <w:szCs w:val="20"/>
        </w:rPr>
        <w:t xml:space="preserve">Alt. 1: if the active BWP </w:t>
      </w:r>
      <w:r>
        <w:rPr>
          <w:rFonts w:ascii="Times New Roman" w:hAnsi="Times New Roman"/>
          <w:b/>
          <w:bCs/>
          <w:i/>
          <w:iCs/>
          <w:sz w:val="20"/>
          <w:szCs w:val="20"/>
        </w:rPr>
        <w:t>in the serving cell is configured with two different higher layer indices in the configured CORESETs, the serving cell should be assumed as a DL serving cell with multi-DCI based multi-TRP</w:t>
      </w:r>
    </w:p>
    <w:p>
      <w:pPr>
        <w:pStyle w:val="94"/>
        <w:numPr>
          <w:ilvl w:val="0"/>
          <w:numId w:val="7"/>
        </w:numPr>
        <w:snapToGrid w:val="0"/>
        <w:spacing w:after="0" w:line="240" w:lineRule="auto"/>
        <w:ind w:left="840" w:leftChars="0"/>
        <w:contextualSpacing/>
        <w:jc w:val="both"/>
        <w:rPr>
          <w:rFonts w:ascii="Times New Roman" w:hAnsi="Times New Roman"/>
          <w:b/>
          <w:bCs/>
          <w:i/>
          <w:iCs/>
          <w:sz w:val="20"/>
          <w:szCs w:val="20"/>
        </w:rPr>
      </w:pPr>
      <w:r>
        <w:rPr>
          <w:rFonts w:hint="eastAsia" w:ascii="Times New Roman" w:hAnsi="Times New Roman"/>
          <w:b/>
          <w:bCs/>
          <w:i/>
          <w:iCs/>
          <w:sz w:val="20"/>
          <w:szCs w:val="20"/>
        </w:rPr>
        <w:t>Alt. 2: if the active</w:t>
      </w:r>
      <w:r>
        <w:rPr>
          <w:rFonts w:ascii="Times New Roman" w:hAnsi="Times New Roman"/>
          <w:b/>
          <w:bCs/>
          <w:i/>
          <w:iCs/>
          <w:sz w:val="20"/>
          <w:szCs w:val="20"/>
        </w:rPr>
        <w:t xml:space="preserve"> BWP in the serving cell contains two PDSCH scrambling IDs, it should be a DL serving cell with multi-DCI based multi-TR</w:t>
      </w:r>
      <w:r>
        <w:rPr>
          <w:rFonts w:hint="eastAsia" w:ascii="Times New Roman" w:hAnsi="Times New Roman"/>
          <w:b/>
          <w:bCs/>
          <w:i/>
          <w:iCs/>
          <w:sz w:val="20"/>
          <w:szCs w:val="20"/>
        </w:rPr>
        <w:t>P</w:t>
      </w:r>
    </w:p>
    <w:bookmarkEnd w:id="6"/>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Regarding the FFS bullet on wh</w:t>
      </w:r>
      <w:r>
        <w:rPr>
          <w:rFonts w:hint="eastAsia" w:ascii="Times New Roman" w:hAnsi="Times New Roman"/>
          <w:sz w:val="20"/>
          <w:szCs w:val="20"/>
        </w:rPr>
        <w:t xml:space="preserve">ether/how to enhance PDCCH mapping/dropping rule in a DL serving cell configured with multi-DCI based multi-TRP transmission in case of PDCCH overbooking, we think </w:t>
      </w:r>
      <w:r>
        <w:rPr>
          <w:rFonts w:ascii="Times New Roman" w:hAnsi="Times New Roman"/>
          <w:sz w:val="20"/>
          <w:szCs w:val="20"/>
        </w:rPr>
        <w:t>an</w:t>
      </w:r>
      <w:r>
        <w:rPr>
          <w:rFonts w:hint="eastAsia" w:ascii="Times New Roman" w:hAnsi="Times New Roman"/>
          <w:sz w:val="20"/>
          <w:szCs w:val="20"/>
        </w:rPr>
        <w:t xml:space="preserve"> </w:t>
      </w:r>
      <w:r>
        <w:rPr>
          <w:rFonts w:ascii="Times New Roman" w:hAnsi="Times New Roman"/>
          <w:sz w:val="20"/>
          <w:szCs w:val="20"/>
        </w:rPr>
        <w:t>extension of the</w:t>
      </w:r>
      <w:r>
        <w:rPr>
          <w:rFonts w:hint="eastAsia" w:ascii="Times New Roman" w:hAnsi="Times New Roman"/>
          <w:sz w:val="20"/>
          <w:szCs w:val="20"/>
        </w:rPr>
        <w:t xml:space="preserve"> rule </w:t>
      </w:r>
      <w:r>
        <w:rPr>
          <w:rFonts w:ascii="Times New Roman" w:hAnsi="Times New Roman"/>
          <w:sz w:val="20"/>
          <w:szCs w:val="20"/>
        </w:rPr>
        <w:t>specified</w:t>
      </w:r>
      <w:r>
        <w:rPr>
          <w:rFonts w:hint="eastAsia" w:ascii="Times New Roman" w:hAnsi="Times New Roman"/>
          <w:sz w:val="20"/>
          <w:szCs w:val="20"/>
        </w:rPr>
        <w:t xml:space="preserve"> Rel-15 should be defined.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Rel-15, only single TRP transmission is considered. The priority of </w:t>
      </w:r>
      <w:r>
        <w:rPr>
          <w:rFonts w:ascii="Times New Roman" w:hAnsi="Times New Roman"/>
          <w:sz w:val="20"/>
          <w:szCs w:val="20"/>
        </w:rPr>
        <w:t xml:space="preserve">a </w:t>
      </w:r>
      <w:r>
        <w:rPr>
          <w:rFonts w:hint="eastAsia" w:ascii="Times New Roman" w:hAnsi="Times New Roman"/>
          <w:sz w:val="20"/>
          <w:szCs w:val="20"/>
        </w:rPr>
        <w:t>search space</w:t>
      </w:r>
      <w:r>
        <w:rPr>
          <w:rFonts w:ascii="Times New Roman" w:hAnsi="Times New Roman"/>
          <w:sz w:val="20"/>
          <w:szCs w:val="20"/>
        </w:rPr>
        <w:t xml:space="preserve"> </w:t>
      </w:r>
      <w:r>
        <w:rPr>
          <w:rFonts w:hint="eastAsia" w:ascii="Times New Roman" w:hAnsi="Times New Roman"/>
          <w:sz w:val="20"/>
          <w:szCs w:val="20"/>
        </w:rPr>
        <w:t xml:space="preserve">(SS) is based on the SS index. If BD/CCE is overbooking, the SS with higher index will be dropped since the maximum number of BD/CCE for a serving cell is limited.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Rel-16, two TRP transmission is supported in a serving cell. The maximum number of BD/CCE not only for a serving cell but also for each TRP is limited. In this case, Rel-15 priority rule can be reused as much as possible. All UE dedicated SSs across two TRPs can still be </w:t>
      </w:r>
      <w:r>
        <w:rPr>
          <w:rFonts w:ascii="Times New Roman" w:hAnsi="Times New Roman"/>
          <w:sz w:val="20"/>
          <w:szCs w:val="20"/>
        </w:rPr>
        <w:t>ordered</w:t>
      </w:r>
      <w:r>
        <w:rPr>
          <w:rFonts w:hint="eastAsia" w:ascii="Times New Roman" w:hAnsi="Times New Roman"/>
          <w:sz w:val="20"/>
          <w:szCs w:val="20"/>
        </w:rPr>
        <w:t xml:space="preserve"> based on SS index, which is the same as Rel-15. So UE will first detect a</w:t>
      </w:r>
      <w:r>
        <w:rPr>
          <w:rFonts w:ascii="Times New Roman" w:hAnsi="Times New Roman"/>
          <w:sz w:val="20"/>
          <w:szCs w:val="20"/>
        </w:rPr>
        <w:t>n</w:t>
      </w:r>
      <w:r>
        <w:rPr>
          <w:rFonts w:hint="eastAsia" w:ascii="Times New Roman" w:hAnsi="Times New Roman"/>
          <w:sz w:val="20"/>
          <w:szCs w:val="20"/>
        </w:rPr>
        <w:t xml:space="preserve"> SS with lower SS index. If </w:t>
      </w:r>
      <w:r>
        <w:rPr>
          <w:rFonts w:ascii="Times New Roman" w:hAnsi="Times New Roman"/>
          <w:sz w:val="20"/>
          <w:szCs w:val="20"/>
        </w:rPr>
        <w:t>an</w:t>
      </w:r>
      <w:r>
        <w:rPr>
          <w:rFonts w:hint="eastAsia" w:ascii="Times New Roman" w:hAnsi="Times New Roman"/>
          <w:sz w:val="20"/>
          <w:szCs w:val="20"/>
        </w:rPr>
        <w:t xml:space="preserve"> SS causes BD/CCE overflow of the TRP, UE will skip this SS. If </w:t>
      </w:r>
      <w:r>
        <w:rPr>
          <w:rFonts w:ascii="Times New Roman" w:hAnsi="Times New Roman"/>
          <w:sz w:val="20"/>
          <w:szCs w:val="20"/>
        </w:rPr>
        <w:t>an</w:t>
      </w:r>
      <w:r>
        <w:rPr>
          <w:rFonts w:hint="eastAsia" w:ascii="Times New Roman" w:hAnsi="Times New Roman"/>
          <w:sz w:val="20"/>
          <w:szCs w:val="20"/>
        </w:rPr>
        <w:t xml:space="preserve"> SS causes BD/CCE overflow of the serving cell, UE will not detect this SS and the remaining SSs with lower SS index.</w:t>
      </w:r>
    </w:p>
    <w:p>
      <w:pPr>
        <w:snapToGrid w:val="0"/>
        <w:spacing w:after="0" w:line="240" w:lineRule="auto"/>
        <w:jc w:val="both"/>
        <w:rPr>
          <w:rFonts w:ascii="Times New Roman" w:hAnsi="Times New Roman"/>
          <w:b/>
          <w:bCs/>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6</w:t>
      </w:r>
      <w:r>
        <w:rPr>
          <w:rFonts w:hint="eastAsia" w:ascii="Times New Roman" w:hAnsi="Times New Roman" w:eastAsia="宋体"/>
          <w:b/>
          <w:bCs/>
          <w:i/>
          <w:iCs/>
          <w:sz w:val="20"/>
          <w:szCs w:val="20"/>
        </w:rPr>
        <w:t xml:space="preserve">: A UE dedicated </w:t>
      </w:r>
      <w:r>
        <w:rPr>
          <w:rFonts w:hint="eastAsia" w:ascii="Times New Roman" w:hAnsi="Times New Roman"/>
          <w:b/>
          <w:bCs/>
          <w:i/>
          <w:iCs/>
          <w:sz w:val="20"/>
          <w:szCs w:val="20"/>
        </w:rPr>
        <w:t>SS with lower index is prioritized.</w:t>
      </w:r>
    </w:p>
    <w:p>
      <w:pPr>
        <w:pStyle w:val="94"/>
        <w:numPr>
          <w:ilvl w:val="0"/>
          <w:numId w:val="7"/>
        </w:numPr>
        <w:snapToGrid w:val="0"/>
        <w:spacing w:after="0" w:line="240" w:lineRule="auto"/>
        <w:ind w:left="840" w:leftChars="0"/>
        <w:contextualSpacing/>
        <w:jc w:val="both"/>
        <w:rPr>
          <w:rFonts w:ascii="Times New Roman" w:hAnsi="Times New Roman"/>
          <w:b/>
          <w:bCs/>
          <w:i/>
          <w:iCs/>
          <w:sz w:val="20"/>
          <w:szCs w:val="20"/>
        </w:rPr>
      </w:pPr>
      <w:r>
        <w:rPr>
          <w:rFonts w:hint="eastAsia" w:ascii="Times New Roman" w:hAnsi="Times New Roman"/>
          <w:b/>
          <w:bCs/>
          <w:i/>
          <w:iCs/>
          <w:sz w:val="20"/>
          <w:szCs w:val="20"/>
        </w:rPr>
        <w:t xml:space="preserve">If </w:t>
      </w:r>
      <w:r>
        <w:rPr>
          <w:rFonts w:ascii="Times New Roman" w:hAnsi="Times New Roman"/>
          <w:b/>
          <w:bCs/>
          <w:i/>
          <w:iCs/>
          <w:sz w:val="20"/>
          <w:szCs w:val="20"/>
        </w:rPr>
        <w:t>an</w:t>
      </w:r>
      <w:r>
        <w:rPr>
          <w:rFonts w:hint="eastAsia" w:ascii="Times New Roman" w:hAnsi="Times New Roman"/>
          <w:b/>
          <w:bCs/>
          <w:i/>
          <w:iCs/>
          <w:sz w:val="20"/>
          <w:szCs w:val="20"/>
        </w:rPr>
        <w:t xml:space="preserve"> SS causes BD/CCE overflow of the corresponding TRP, UE will skip this SS, </w:t>
      </w:r>
    </w:p>
    <w:p>
      <w:pPr>
        <w:pStyle w:val="94"/>
        <w:numPr>
          <w:ilvl w:val="0"/>
          <w:numId w:val="7"/>
        </w:numPr>
        <w:snapToGrid w:val="0"/>
        <w:spacing w:after="0" w:line="240" w:lineRule="auto"/>
        <w:ind w:left="840" w:leftChars="0"/>
        <w:contextualSpacing/>
        <w:jc w:val="both"/>
        <w:rPr>
          <w:rFonts w:ascii="Times New Roman" w:hAnsi="Times New Roman"/>
          <w:b/>
          <w:bCs/>
          <w:i/>
          <w:iCs/>
          <w:sz w:val="20"/>
          <w:szCs w:val="20"/>
        </w:rPr>
      </w:pPr>
      <w:r>
        <w:rPr>
          <w:rFonts w:hint="eastAsia" w:ascii="Times New Roman" w:hAnsi="Times New Roman"/>
          <w:b/>
          <w:bCs/>
          <w:i/>
          <w:iCs/>
          <w:sz w:val="20"/>
          <w:szCs w:val="20"/>
        </w:rPr>
        <w:t xml:space="preserve">If </w:t>
      </w:r>
      <w:r>
        <w:rPr>
          <w:rFonts w:ascii="Times New Roman" w:hAnsi="Times New Roman"/>
          <w:b/>
          <w:bCs/>
          <w:i/>
          <w:iCs/>
          <w:sz w:val="20"/>
          <w:szCs w:val="20"/>
        </w:rPr>
        <w:t>an</w:t>
      </w:r>
      <w:r>
        <w:rPr>
          <w:rFonts w:hint="eastAsia" w:ascii="Times New Roman" w:hAnsi="Times New Roman"/>
          <w:b/>
          <w:bCs/>
          <w:i/>
          <w:iCs/>
          <w:sz w:val="20"/>
          <w:szCs w:val="20"/>
        </w:rPr>
        <w:t xml:space="preserve"> SS causes BD/CCE overflow of the serving cell, UE will not detect this SS and the remaining SSs with higher SS index</w:t>
      </w:r>
    </w:p>
    <w:p>
      <w:pPr>
        <w:snapToGrid w:val="0"/>
        <w:spacing w:before="180" w:beforeLines="50" w:after="180" w:afterLines="50" w:line="240" w:lineRule="auto"/>
        <w:jc w:val="both"/>
        <w:rPr>
          <w:rFonts w:ascii="Times New Roman" w:hAnsi="Times New Roman" w:eastAsia="宋体"/>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Joint ACK/NACK feedback</w:t>
      </w:r>
    </w:p>
    <w:p>
      <w:pPr>
        <w:overflowPunct w:val="0"/>
        <w:autoSpaceDE w:val="0"/>
        <w:autoSpaceDN w:val="0"/>
        <w:adjustRightInd w:val="0"/>
        <w:snapToGrid w:val="0"/>
        <w:spacing w:before="180" w:beforeLines="50" w:after="180" w:afterLines="50" w:line="240" w:lineRule="auto"/>
        <w:contextualSpacing/>
        <w:jc w:val="both"/>
        <w:textAlignment w:val="baseline"/>
        <w:rPr>
          <w:rFonts w:ascii="Times New Roman" w:hAnsi="Times New Roman" w:eastAsia="Malgun Gothic"/>
          <w:sz w:val="20"/>
          <w:szCs w:val="20"/>
        </w:rPr>
      </w:pPr>
      <w:r>
        <w:rPr>
          <w:rFonts w:hint="eastAsia" w:ascii="Times New Roman" w:hAnsi="Times New Roman" w:eastAsia="宋体"/>
          <w:sz w:val="20"/>
          <w:szCs w:val="20"/>
        </w:rPr>
        <w:t>For joint ACK/NACK feedback, the following agreements were made in RAN1#98 meeting:</w:t>
      </w:r>
      <w:r>
        <w:rPr>
          <w:rFonts w:hint="eastAsia" w:ascii="Times New Roman" w:hAnsi="Times New Roman" w:eastAsia="Malgun Gothic"/>
          <w:sz w:val="20"/>
          <w:szCs w:val="20"/>
        </w:rPr>
        <w:t xml:space="preserve"> </w:t>
      </w:r>
    </w:p>
    <w:p>
      <w:pPr>
        <w:snapToGrid w:val="0"/>
        <w:spacing w:after="0" w:line="240" w:lineRule="auto"/>
        <w:rPr>
          <w:rFonts w:ascii="Times New Roman" w:hAnsi="Times New Roman"/>
          <w:i/>
          <w:iCs/>
          <w:sz w:val="20"/>
          <w:szCs w:val="20"/>
          <w:u w:val="single"/>
        </w:rPr>
      </w:pP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pPr>
        <w:snapToGrid w:val="0"/>
        <w:spacing w:after="0" w:line="240" w:lineRule="auto"/>
        <w:rPr>
          <w:rFonts w:ascii="Times New Roman" w:hAnsi="Times New Roman"/>
          <w:i/>
          <w:iCs/>
          <w:sz w:val="20"/>
          <w:szCs w:val="20"/>
        </w:rPr>
      </w:pPr>
      <w:r>
        <w:rPr>
          <w:rFonts w:ascii="Times New Roman" w:hAnsi="Times New Roman"/>
          <w:i/>
          <w:iCs/>
          <w:sz w:val="20"/>
          <w:szCs w:val="20"/>
        </w:rPr>
        <w:t xml:space="preserve">In case higher layer index per CORESET is configured, for joint semi-static HARQ-ACK codebook among M-TRP, </w:t>
      </w:r>
    </w:p>
    <w:p>
      <w:pPr>
        <w:pStyle w:val="95"/>
        <w:numPr>
          <w:ilvl w:val="0"/>
          <w:numId w:val="8"/>
        </w:numPr>
        <w:spacing w:after="0" w:afterLines="0" w:line="240" w:lineRule="auto"/>
        <w:ind w:left="720" w:hanging="320"/>
        <w:contextualSpacing/>
        <w:rPr>
          <w:bCs/>
          <w:i/>
          <w:iCs/>
          <w:sz w:val="20"/>
          <w:szCs w:val="20"/>
        </w:rPr>
      </w:pPr>
      <w:r>
        <w:rPr>
          <w:bCs/>
          <w:i/>
          <w:iCs/>
          <w:sz w:val="20"/>
          <w:szCs w:val="20"/>
        </w:rPr>
        <w:t>HARQ-ACK information bits are concatenated by the increasing order of</w:t>
      </w:r>
    </w:p>
    <w:p>
      <w:pPr>
        <w:numPr>
          <w:ilvl w:val="1"/>
          <w:numId w:val="9"/>
        </w:numPr>
        <w:snapToGrid w:val="0"/>
        <w:spacing w:after="0"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PDSCH reception occasion index at first</w:t>
      </w:r>
    </w:p>
    <w:p>
      <w:pPr>
        <w:numPr>
          <w:ilvl w:val="1"/>
          <w:numId w:val="9"/>
        </w:numPr>
        <w:snapToGrid w:val="0"/>
        <w:spacing w:after="0"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and then serving cell index</w:t>
      </w:r>
    </w:p>
    <w:p>
      <w:pPr>
        <w:numPr>
          <w:ilvl w:val="1"/>
          <w:numId w:val="9"/>
        </w:numPr>
        <w:snapToGrid w:val="0"/>
        <w:spacing w:after="0" w:line="240" w:lineRule="auto"/>
        <w:contextualSpacing/>
        <w:jc w:val="both"/>
        <w:rPr>
          <w:rFonts w:ascii="Times New Roman" w:hAnsi="Times New Roman" w:eastAsia="宋体"/>
          <w:i/>
          <w:iCs/>
          <w:sz w:val="20"/>
          <w:szCs w:val="20"/>
        </w:rPr>
      </w:pPr>
      <w:r>
        <w:rPr>
          <w:rFonts w:ascii="Times New Roman" w:hAnsi="Times New Roman" w:eastAsia="宋体"/>
          <w:i/>
          <w:iCs/>
          <w:sz w:val="20"/>
          <w:szCs w:val="20"/>
        </w:rPr>
        <w:t>and TRP (i.e. higher layer index configured per CORESET (if configured))</w:t>
      </w:r>
    </w:p>
    <w:p>
      <w:pPr>
        <w:pStyle w:val="95"/>
        <w:numPr>
          <w:ilvl w:val="0"/>
          <w:numId w:val="8"/>
        </w:numPr>
        <w:spacing w:after="0" w:afterLines="0" w:line="240" w:lineRule="auto"/>
        <w:ind w:left="720" w:hanging="320"/>
        <w:contextualSpacing/>
        <w:rPr>
          <w:bCs/>
          <w:i/>
          <w:iCs/>
          <w:sz w:val="20"/>
          <w:szCs w:val="20"/>
        </w:rPr>
      </w:pPr>
      <w:r>
        <w:rPr>
          <w:bCs/>
          <w:i/>
          <w:iCs/>
          <w:sz w:val="20"/>
          <w:szCs w:val="20"/>
        </w:rPr>
        <w:t>FFS: Whether and how to specify UE behaviour in case the higher layer index per CORESET is not configured.</w:t>
      </w:r>
    </w:p>
    <w:p>
      <w:pPr>
        <w:snapToGrid w:val="0"/>
        <w:spacing w:after="0" w:line="240" w:lineRule="auto"/>
        <w:rPr>
          <w:rFonts w:ascii="Times New Roman" w:hAnsi="Times New Roman"/>
          <w:b/>
          <w:bCs/>
          <w:i/>
          <w:iCs/>
          <w:sz w:val="20"/>
          <w:szCs w:val="20"/>
        </w:rPr>
      </w:pP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pPr>
        <w:tabs>
          <w:tab w:val="left" w:pos="720"/>
          <w:tab w:val="left" w:pos="2160"/>
        </w:tabs>
        <w:overflowPunct w:val="0"/>
        <w:autoSpaceDE w:val="0"/>
        <w:autoSpaceDN w:val="0"/>
        <w:adjustRightInd w:val="0"/>
        <w:snapToGrid w:val="0"/>
        <w:spacing w:after="0" w:line="240" w:lineRule="auto"/>
        <w:contextualSpacing/>
        <w:jc w:val="both"/>
        <w:textAlignment w:val="baseline"/>
        <w:rPr>
          <w:rFonts w:ascii="Times New Roman" w:hAnsi="Times New Roman" w:eastAsia="宋体"/>
          <w:i/>
          <w:iCs/>
          <w:sz w:val="20"/>
          <w:szCs w:val="20"/>
        </w:rPr>
      </w:pPr>
      <w:r>
        <w:rPr>
          <w:rFonts w:ascii="Times New Roman" w:hAnsi="Times New Roman" w:eastAsia="宋体"/>
          <w:i/>
          <w:iCs/>
          <w:sz w:val="20"/>
          <w:szCs w:val="20"/>
        </w:rPr>
        <w:t>For joint dynamic HARQ-ACK codebook among M-TRP, select one from following alternatives in RAN1#98bis</w:t>
      </w:r>
    </w:p>
    <w:p>
      <w:pPr>
        <w:pStyle w:val="96"/>
        <w:numPr>
          <w:ilvl w:val="0"/>
          <w:numId w:val="10"/>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Alt 1: counter DAI is jointly counted across two TRPs (i.e. different higher layer index configured per CORESET (if configured)), and total DAI should count total number of DCIs in a PDCCH monitoring occasion across CCs and TRPs. </w:t>
      </w:r>
    </w:p>
    <w:p>
      <w:pPr>
        <w:pStyle w:val="96"/>
        <w:numPr>
          <w:ilvl w:val="0"/>
          <w:numId w:val="10"/>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 xml:space="preserve">Alt 2: counter </w:t>
      </w:r>
      <w:r>
        <w:rPr>
          <w:rFonts w:ascii="Times New Roman" w:hAnsi="Times New Roman" w:eastAsia="宋体"/>
          <w:i/>
          <w:iCs/>
          <w:sz w:val="20"/>
          <w:szCs w:val="20"/>
          <w:lang w:eastAsia="ko-KR"/>
        </w:rPr>
        <w:t xml:space="preserve">DAI is counted per TRP, and </w:t>
      </w:r>
      <w:r>
        <w:rPr>
          <w:rFonts w:ascii="Times New Roman" w:hAnsi="Times New Roman" w:eastAsia="宋体"/>
          <w:i/>
          <w:iCs/>
          <w:sz w:val="20"/>
          <w:szCs w:val="20"/>
        </w:rPr>
        <w:t>and total DAI should count total number of DCIs in a PDCCH monitoring occasion across CCs for each TRP. HARQ-ACK information bits are then concatenated by the increasing order of TRPs (i.e. different higher layer index configured per CORESET (if configured)).</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joint dynamic ACK/NACK bits multiplexing, our view is that </w:t>
      </w:r>
      <w:r>
        <w:rPr>
          <w:rFonts w:ascii="Times New Roman" w:hAnsi="Times New Roman" w:eastAsia="Malgun Gothic"/>
          <w:sz w:val="20"/>
          <w:szCs w:val="20"/>
        </w:rPr>
        <w:t>HARQ-ACK bits for TRP-0 and TRP-1 are concatenated by the increasing order of </w:t>
      </w:r>
      <w:r>
        <w:rPr>
          <w:rFonts w:hint="eastAsia" w:ascii="Times New Roman" w:hAnsi="Times New Roman" w:eastAsia="Malgun Gothic"/>
          <w:sz w:val="20"/>
          <w:szCs w:val="20"/>
        </w:rPr>
        <w:t xml:space="preserve">the </w:t>
      </w:r>
      <w:r>
        <w:rPr>
          <w:rFonts w:ascii="Times New Roman" w:hAnsi="Times New Roman" w:eastAsia="Malgun Gothic"/>
          <w:sz w:val="20"/>
          <w:szCs w:val="20"/>
        </w:rPr>
        <w:t xml:space="preserve">higher layer </w:t>
      </w:r>
      <w:r>
        <w:rPr>
          <w:rFonts w:hint="eastAsia" w:ascii="Times New Roman" w:hAnsi="Times New Roman" w:eastAsia="Malgun Gothic"/>
          <w:sz w:val="20"/>
          <w:szCs w:val="20"/>
        </w:rPr>
        <w:t xml:space="preserve">CORESET group IDs for simplicity. Compared with separate ACK/NACK generation, the concatenation of ACK/NACK bits from two TRPs is just additionally needed. Based on this way, DAI is still applied independent per each TRP. </w:t>
      </w:r>
      <w:r>
        <w:rPr>
          <w:rFonts w:hint="eastAsia" w:ascii="Times New Roman" w:hAnsi="Times New Roman" w:eastAsia="宋体"/>
          <w:sz w:val="20"/>
          <w:szCs w:val="20"/>
        </w:rPr>
        <w:t xml:space="preserve">Therefore, we support above Alt.2 for joint dynamic </w:t>
      </w:r>
      <w:r>
        <w:rPr>
          <w:rFonts w:ascii="Times New Roman" w:hAnsi="Times New Roman" w:eastAsia="宋体"/>
          <w:sz w:val="20"/>
          <w:szCs w:val="20"/>
        </w:rPr>
        <w:t>HARQ-ACK codebook among M-TRP</w:t>
      </w:r>
      <w:r>
        <w:rPr>
          <w:rFonts w:hint="eastAsia" w:ascii="Times New Roman" w:hAnsi="Times New Roman" w:eastAsia="宋体"/>
          <w:sz w:val="20"/>
          <w:szCs w:val="20"/>
        </w:rPr>
        <w:t>.</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7</w:t>
      </w:r>
      <w:r>
        <w:rPr>
          <w:rFonts w:hint="eastAsia" w:ascii="Times New Roman" w:hAnsi="Times New Roman" w:eastAsia="宋体"/>
          <w:b/>
          <w:bCs/>
          <w:i/>
          <w:iCs/>
          <w:sz w:val="20"/>
          <w:szCs w:val="20"/>
        </w:rPr>
        <w:t xml:space="preserve">: For joint ACK/NACK bits multiplexing, </w:t>
      </w:r>
      <w:r>
        <w:rPr>
          <w:rFonts w:ascii="Times New Roman" w:hAnsi="Times New Roman" w:eastAsia="宋体"/>
          <w:b/>
          <w:bCs/>
          <w:i/>
          <w:iCs/>
          <w:sz w:val="20"/>
          <w:szCs w:val="20"/>
        </w:rPr>
        <w:t xml:space="preserve">counter </w:t>
      </w:r>
      <w:r>
        <w:rPr>
          <w:rFonts w:ascii="Times New Roman" w:hAnsi="Times New Roman" w:eastAsia="宋体"/>
          <w:b/>
          <w:bCs/>
          <w:i/>
          <w:iCs/>
          <w:sz w:val="20"/>
          <w:szCs w:val="20"/>
          <w:lang w:eastAsia="ko-KR"/>
        </w:rPr>
        <w:t>DAI is counted per TRP</w:t>
      </w:r>
      <w:r>
        <w:rPr>
          <w:rFonts w:hint="eastAsia" w:ascii="Times New Roman" w:hAnsi="Times New Roman" w:eastAsia="宋体"/>
          <w:b/>
          <w:bCs/>
          <w:i/>
          <w:iCs/>
          <w:sz w:val="20"/>
          <w:szCs w:val="20"/>
        </w:rPr>
        <w:t>.</w:t>
      </w:r>
      <w:r>
        <w:rPr>
          <w:rFonts w:ascii="Times New Roman" w:hAnsi="Times New Roman"/>
          <w:b/>
          <w:bCs/>
          <w:i/>
          <w:iCs/>
          <w:sz w:val="20"/>
          <w:szCs w:val="20"/>
        </w:rPr>
        <w:t xml:space="preserve"> </w:t>
      </w:r>
    </w:p>
    <w:p>
      <w:pPr>
        <w:pStyle w:val="94"/>
        <w:snapToGrid w:val="0"/>
        <w:spacing w:after="0" w:line="240" w:lineRule="auto"/>
        <w:ind w:left="0" w:leftChars="0"/>
        <w:contextualSpacing/>
        <w:jc w:val="both"/>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 xml:space="preserve">Power control </w:t>
      </w:r>
    </w:p>
    <w:p>
      <w:pPr>
        <w:pStyle w:val="94"/>
        <w:snapToGrid w:val="0"/>
        <w:spacing w:after="0" w:line="240" w:lineRule="auto"/>
        <w:ind w:left="0" w:leftChars="0"/>
        <w:contextualSpacing/>
        <w:jc w:val="both"/>
        <w:rPr>
          <w:rFonts w:ascii="Times New Roman" w:hAnsi="Times New Roman"/>
          <w:sz w:val="20"/>
          <w:szCs w:val="20"/>
        </w:rPr>
      </w:pPr>
      <w:r>
        <w:rPr>
          <w:rFonts w:hint="eastAsia" w:ascii="Times New Roman" w:hAnsi="Times New Roman"/>
          <w:sz w:val="20"/>
          <w:szCs w:val="20"/>
        </w:rPr>
        <w:t>Similarly, close loop power control should also be separate for the two TRPs because dynamic coordination of TPC commands may be impossible between two TRPs. Otherwise, the PUCCH transmission power will be out of control for each TRP.</w:t>
      </w:r>
    </w:p>
    <w:p>
      <w:pPr>
        <w:pStyle w:val="94"/>
        <w:snapToGrid w:val="0"/>
        <w:spacing w:after="0" w:line="240" w:lineRule="auto"/>
        <w:ind w:left="0" w:leftChars="0"/>
        <w:contextualSpacing/>
        <w:jc w:val="both"/>
        <w:rPr>
          <w:rFonts w:ascii="Times New Roman" w:hAnsi="Times New Roman"/>
          <w:sz w:val="20"/>
          <w:szCs w:val="20"/>
        </w:rPr>
      </w:pPr>
    </w:p>
    <w:p>
      <w:pPr>
        <w:pStyle w:val="94"/>
        <w:snapToGrid w:val="0"/>
        <w:spacing w:before="180" w:beforeLines="50" w:after="180" w:afterLines="50" w:line="240" w:lineRule="auto"/>
        <w:ind w:left="0" w:leftChars="0"/>
        <w:contextualSpacing/>
        <w:jc w:val="both"/>
        <w:rPr>
          <w:rFonts w:ascii="Times New Roman" w:hAnsi="Times New Roman"/>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 Close loop power control should be separate for the two TRPs.</w:t>
      </w:r>
      <w:r>
        <w:rPr>
          <w:rFonts w:hint="eastAsia" w:ascii="Times New Roman" w:hAnsi="Times New Roman"/>
          <w:b/>
          <w:bCs/>
          <w:sz w:val="20"/>
          <w:szCs w:val="20"/>
        </w:rPr>
        <w:t xml:space="preserve"> </w:t>
      </w:r>
    </w:p>
    <w:p>
      <w:pPr>
        <w:snapToGrid w:val="0"/>
        <w:spacing w:before="180" w:beforeLines="50" w:after="180" w:afterLines="50" w:line="240" w:lineRule="auto"/>
        <w:jc w:val="both"/>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PUCCH resource grouping</w:t>
      </w:r>
    </w:p>
    <w:p>
      <w:pPr>
        <w:snapToGrid w:val="0"/>
        <w:spacing w:before="180" w:after="18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As shown in the following agreement made in RAN1#98bis meeting, the association between PUCCH resource and the higher layer index per CORESET is agreed.  </w:t>
      </w: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pPr>
        <w:snapToGrid w:val="0"/>
        <w:spacing w:line="240" w:lineRule="auto"/>
        <w:rPr>
          <w:rFonts w:ascii="Times New Roman" w:hAnsi="Times New Roman"/>
          <w:i/>
          <w:iCs/>
          <w:sz w:val="20"/>
          <w:szCs w:val="20"/>
        </w:rPr>
      </w:pPr>
      <w:r>
        <w:rPr>
          <w:rFonts w:ascii="Times New Roman" w:hAnsi="Times New Roman"/>
          <w:i/>
          <w:iCs/>
          <w:sz w:val="20"/>
          <w:szCs w:val="20"/>
        </w:rPr>
        <w:t>For M-DCI NCJT transmission, each PUCCH resource may be associated with a value of higher layer index per CORESET</w:t>
      </w:r>
    </w:p>
    <w:p>
      <w:pPr>
        <w:numPr>
          <w:ilvl w:val="0"/>
          <w:numId w:val="11"/>
        </w:numPr>
        <w:snapToGrid w:val="0"/>
        <w:spacing w:after="120" w:line="240" w:lineRule="auto"/>
        <w:contextualSpacing/>
        <w:jc w:val="both"/>
        <w:rPr>
          <w:rFonts w:ascii="Times New Roman" w:hAnsi="Times New Roman" w:eastAsia="Malgun Gothic"/>
          <w:i/>
          <w:iCs/>
          <w:sz w:val="20"/>
          <w:szCs w:val="20"/>
          <w:lang w:eastAsia="ko-KR"/>
        </w:rPr>
      </w:pPr>
      <w:r>
        <w:rPr>
          <w:rFonts w:ascii="Times New Roman" w:hAnsi="Times New Roman" w:eastAsia="Malgun Gothic"/>
          <w:i/>
          <w:iCs/>
          <w:sz w:val="20"/>
          <w:szCs w:val="20"/>
          <w:lang w:eastAsia="ko-KR"/>
        </w:rPr>
        <w:t>FFS: Additional restriction such as TDM PUCCH transmission across different higher layer index per CORESET</w:t>
      </w:r>
    </w:p>
    <w:p>
      <w:pPr>
        <w:numPr>
          <w:ilvl w:val="0"/>
          <w:numId w:val="11"/>
        </w:numPr>
        <w:snapToGrid w:val="0"/>
        <w:spacing w:after="120" w:line="240" w:lineRule="auto"/>
        <w:contextualSpacing/>
        <w:jc w:val="both"/>
        <w:rPr>
          <w:rFonts w:ascii="Times New Roman" w:hAnsi="Times New Roman" w:eastAsia="Malgun Gothic"/>
          <w:i/>
          <w:iCs/>
          <w:sz w:val="20"/>
          <w:szCs w:val="20"/>
          <w:lang w:eastAsia="ko-KR"/>
        </w:rPr>
      </w:pPr>
      <w:r>
        <w:rPr>
          <w:rFonts w:ascii="Times New Roman" w:hAnsi="Times New Roman" w:eastAsia="Malgun Gothic"/>
          <w:i/>
          <w:iCs/>
          <w:sz w:val="20"/>
          <w:szCs w:val="20"/>
          <w:lang w:eastAsia="ko-KR"/>
        </w:rPr>
        <w:t>FFS: Details on association</w:t>
      </w: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pPr>
        <w:snapToGrid w:val="0"/>
        <w:spacing w:line="240" w:lineRule="auto"/>
        <w:rPr>
          <w:rFonts w:ascii="Times New Roman" w:hAnsi="Times New Roman"/>
          <w:i/>
          <w:iCs/>
          <w:sz w:val="20"/>
          <w:szCs w:val="20"/>
        </w:rPr>
      </w:pPr>
      <w:r>
        <w:rPr>
          <w:rFonts w:ascii="Times New Roman" w:hAnsi="Times New Roman"/>
          <w:i/>
          <w:iCs/>
          <w:sz w:val="20"/>
          <w:szCs w:val="20"/>
        </w:rPr>
        <w:t xml:space="preserve">For multi-PDCCH based multi-TRP/panel transmission, when separated ACK/NACK feedback is enabled, </w:t>
      </w:r>
    </w:p>
    <w:p>
      <w:pPr>
        <w:numPr>
          <w:ilvl w:val="0"/>
          <w:numId w:val="11"/>
        </w:numPr>
        <w:snapToGrid w:val="0"/>
        <w:spacing w:line="240" w:lineRule="auto"/>
        <w:contextualSpacing/>
        <w:jc w:val="both"/>
        <w:rPr>
          <w:rFonts w:ascii="Times New Roman" w:hAnsi="Times New Roman"/>
          <w:i/>
          <w:iCs/>
          <w:sz w:val="20"/>
          <w:szCs w:val="20"/>
        </w:rPr>
      </w:pPr>
      <w:r>
        <w:rPr>
          <w:rFonts w:ascii="Times New Roman" w:hAnsi="Times New Roman" w:eastAsia="宋体"/>
          <w:i/>
          <w:iCs/>
          <w:sz w:val="20"/>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pPr>
        <w:numPr>
          <w:ilvl w:val="1"/>
          <w:numId w:val="11"/>
        </w:numPr>
        <w:snapToGrid w:val="0"/>
        <w:spacing w:line="240" w:lineRule="auto"/>
        <w:contextualSpacing/>
        <w:jc w:val="both"/>
        <w:rPr>
          <w:rFonts w:ascii="Times New Roman" w:hAnsi="Times New Roman"/>
          <w:sz w:val="20"/>
          <w:szCs w:val="20"/>
        </w:rPr>
      </w:pPr>
      <w:r>
        <w:rPr>
          <w:rFonts w:ascii="Times New Roman" w:hAnsi="Times New Roman" w:eastAsia="宋体"/>
          <w:i/>
          <w:iCs/>
          <w:sz w:val="20"/>
          <w:szCs w:val="20"/>
          <w:lang w:eastAsia="ko-KR"/>
        </w:rPr>
        <w:t>Note</w:t>
      </w:r>
      <w:r>
        <w:rPr>
          <w:rFonts w:ascii="Times New Roman" w:hAnsi="Times New Roman" w:eastAsia="宋体"/>
          <w:i/>
          <w:iCs/>
          <w:color w:val="C00000"/>
          <w:sz w:val="20"/>
          <w:szCs w:val="20"/>
          <w:lang w:eastAsia="ko-KR"/>
        </w:rPr>
        <w:t xml:space="preserve"> </w:t>
      </w:r>
      <w:r>
        <w:rPr>
          <w:rFonts w:ascii="Times New Roman" w:hAnsi="Times New Roman" w:eastAsia="宋体"/>
          <w:i/>
          <w:iCs/>
          <w:sz w:val="20"/>
          <w:szCs w:val="20"/>
          <w:lang w:eastAsia="ko-KR"/>
        </w:rPr>
        <w:t xml:space="preserve">that </w:t>
      </w:r>
      <w:r>
        <w:rPr>
          <w:rFonts w:ascii="Times New Roman" w:hAnsi="Times New Roman"/>
          <w:i/>
          <w:iCs/>
          <w:sz w:val="20"/>
          <w:szCs w:val="20"/>
        </w:rPr>
        <w:t>PUCCH resources can be associated with values of higher layer index per CORESET so that indices may be used to differentiate TRP to determine whether there is overlapping among TRPs. PUSCH can be differentiated by scheduling CORESET in terms of targeted TRP.</w:t>
      </w:r>
      <w:r>
        <w:rPr>
          <w:rFonts w:ascii="Times New Roman" w:hAnsi="Times New Roman"/>
          <w:sz w:val="20"/>
          <w:szCs w:val="20"/>
        </w:rPr>
        <w:t xml:space="preserve"> </w:t>
      </w:r>
    </w:p>
    <w:p>
      <w:pPr>
        <w:snapToGrid w:val="0"/>
        <w:spacing w:before="180" w:after="180" w:line="240" w:lineRule="auto"/>
        <w:jc w:val="both"/>
        <w:rPr>
          <w:rFonts w:ascii="Times New Roman" w:hAnsi="Times New Roman" w:eastAsia="宋体"/>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the email discussion for RRC list, four solutions are provided as follows</w:t>
      </w:r>
    </w:p>
    <w:p>
      <w:pPr>
        <w:numPr>
          <w:ilvl w:val="0"/>
          <w:numId w:val="11"/>
        </w:numPr>
        <w:snapToGrid w:val="0"/>
        <w:spacing w:before="180" w:beforeLines="50" w:after="180" w:afterLines="50" w:line="240" w:lineRule="auto"/>
        <w:contextualSpacing/>
        <w:jc w:val="both"/>
        <w:rPr>
          <w:rFonts w:ascii="Times New Roman" w:hAnsi="Times New Roman" w:eastAsia="宋体"/>
          <w:sz w:val="20"/>
          <w:szCs w:val="20"/>
        </w:rPr>
      </w:pPr>
      <w:r>
        <w:rPr>
          <w:rFonts w:hint="eastAsia" w:ascii="Times New Roman" w:hAnsi="Times New Roman" w:eastAsia="宋体"/>
          <w:sz w:val="20"/>
          <w:szCs w:val="20"/>
        </w:rPr>
        <w:t>Alt 1: hard association of PUCCH resources, e.g. the lowest indice(s) of configured PUCCH resources associated with the value 0 of HigherLayerIndexPerCORESET</w:t>
      </w:r>
    </w:p>
    <w:p>
      <w:pPr>
        <w:numPr>
          <w:ilvl w:val="0"/>
          <w:numId w:val="11"/>
        </w:numPr>
        <w:snapToGrid w:val="0"/>
        <w:spacing w:before="180" w:beforeLines="50"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Alt 2: Whether the source RS in the activated spatial relation of the PUCCH resource is the same as the QCL source RS in the activated TCI state of the CORESET</w:t>
      </w:r>
    </w:p>
    <w:p>
      <w:pPr>
        <w:numPr>
          <w:ilvl w:val="0"/>
          <w:numId w:val="11"/>
        </w:numPr>
        <w:snapToGrid w:val="0"/>
        <w:spacing w:before="180" w:beforeLines="50"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 xml:space="preserve">Alt 3: new </w:t>
      </w:r>
      <w:r>
        <w:rPr>
          <w:rFonts w:hint="eastAsia" w:ascii="Times New Roman" w:hAnsi="Times New Roman" w:eastAsia="宋体"/>
          <w:sz w:val="20"/>
          <w:szCs w:val="20"/>
        </w:rPr>
        <w:t xml:space="preserve">RRC </w:t>
      </w:r>
      <w:r>
        <w:rPr>
          <w:rFonts w:ascii="Times New Roman" w:hAnsi="Times New Roman" w:eastAsia="宋体"/>
          <w:sz w:val="20"/>
          <w:szCs w:val="20"/>
        </w:rPr>
        <w:t>IE </w:t>
      </w:r>
      <w:r>
        <w:rPr>
          <w:rFonts w:hint="eastAsia" w:ascii="Times New Roman" w:hAnsi="Times New Roman" w:eastAsia="宋体"/>
          <w:sz w:val="20"/>
          <w:szCs w:val="20"/>
        </w:rPr>
        <w:t>in each PUCCH resource</w:t>
      </w:r>
    </w:p>
    <w:p>
      <w:pPr>
        <w:numPr>
          <w:ilvl w:val="0"/>
          <w:numId w:val="11"/>
        </w:numPr>
        <w:snapToGrid w:val="0"/>
        <w:spacing w:before="180" w:beforeLines="50" w:after="180" w:afterLines="50" w:line="240" w:lineRule="auto"/>
        <w:contextualSpacing/>
        <w:jc w:val="both"/>
        <w:rPr>
          <w:rFonts w:ascii="Times New Roman" w:hAnsi="Times New Roman" w:eastAsia="宋体"/>
          <w:sz w:val="20"/>
          <w:szCs w:val="20"/>
        </w:rPr>
      </w:pPr>
      <w:r>
        <w:rPr>
          <w:rFonts w:ascii="Times New Roman" w:hAnsi="Times New Roman" w:eastAsia="宋体"/>
          <w:sz w:val="20"/>
          <w:szCs w:val="20"/>
        </w:rPr>
        <w:t>Alt. 4: PUCCH resources for TRP0 are configured with close loop index 0, and PUCCH resources for TRP</w:t>
      </w:r>
      <w:r>
        <w:rPr>
          <w:rFonts w:hint="eastAsia" w:ascii="Times New Roman" w:hAnsi="Times New Roman" w:eastAsia="宋体"/>
          <w:sz w:val="20"/>
          <w:szCs w:val="20"/>
        </w:rPr>
        <w:t>1</w:t>
      </w:r>
      <w:r>
        <w:rPr>
          <w:rFonts w:ascii="Times New Roman" w:hAnsi="Times New Roman" w:eastAsia="宋体"/>
          <w:sz w:val="20"/>
          <w:szCs w:val="20"/>
        </w:rPr>
        <w:t xml:space="preserve"> are configured with close loop index 1. </w:t>
      </w:r>
    </w:p>
    <w:p>
      <w:pPr>
        <w:snapToGrid w:val="0"/>
        <w:spacing w:before="180" w:beforeLines="50" w:after="180" w:afterLines="50" w:line="240" w:lineRule="auto"/>
        <w:jc w:val="both"/>
        <w:rPr>
          <w:rFonts w:ascii="Times New Roman" w:hAnsi="Times New Roman" w:eastAsia="宋体"/>
          <w:sz w:val="20"/>
          <w:szCs w:val="20"/>
        </w:rPr>
      </w:pP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Alt.1, the grouping should be predefined, e.g. each TRP always have half of total configured PUCCH resources, the flexibility is not good. </w:t>
      </w:r>
      <w:r>
        <w:rPr>
          <w:rFonts w:ascii="Times New Roman" w:hAnsi="Times New Roman" w:eastAsia="宋体"/>
          <w:sz w:val="20"/>
          <w:szCs w:val="20"/>
        </w:rPr>
        <w:t xml:space="preserve">For Alt. 2, </w:t>
      </w:r>
      <w:r>
        <w:rPr>
          <w:rFonts w:hint="eastAsia" w:ascii="Times New Roman" w:hAnsi="Times New Roman" w:eastAsia="宋体"/>
          <w:sz w:val="20"/>
          <w:szCs w:val="20"/>
        </w:rPr>
        <w:t>t</w:t>
      </w:r>
      <w:r>
        <w:rPr>
          <w:rFonts w:ascii="Times New Roman" w:hAnsi="Times New Roman" w:eastAsia="宋体"/>
          <w:sz w:val="20"/>
          <w:szCs w:val="20"/>
        </w:rPr>
        <w:t>he solution is not complete</w:t>
      </w:r>
      <w:r>
        <w:rPr>
          <w:rFonts w:hint="eastAsia" w:ascii="Times New Roman" w:hAnsi="Times New Roman" w:eastAsia="宋体"/>
          <w:sz w:val="20"/>
          <w:szCs w:val="20"/>
        </w:rPr>
        <w:t xml:space="preserve"> since the same beam is always required for DL and UL. </w:t>
      </w:r>
      <w:r>
        <w:rPr>
          <w:rFonts w:ascii="Times New Roman" w:hAnsi="Times New Roman" w:eastAsia="宋体"/>
          <w:sz w:val="20"/>
          <w:szCs w:val="20"/>
        </w:rPr>
        <w:t>For Alt.4, we agree it is one way. But the limit is each TRP only can have one close loop power control. The flexibility for each TRP will be worse than Rel-15. </w:t>
      </w: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eastAsia="宋体"/>
          <w:b/>
          <w:bCs/>
          <w:i/>
          <w:iCs/>
          <w:sz w:val="20"/>
          <w:szCs w:val="20"/>
        </w:rPr>
        <w:t xml:space="preserve">Proposal </w:t>
      </w:r>
      <w:r>
        <w:rPr>
          <w:rFonts w:hint="eastAsia" w:ascii="Times New Roman" w:hAnsi="Times New Roman" w:eastAsia="宋体"/>
          <w:b/>
          <w:bCs/>
          <w:i/>
          <w:iCs/>
          <w:sz w:val="20"/>
          <w:szCs w:val="20"/>
          <w:lang w:val="en-US" w:eastAsia="zh-CN"/>
        </w:rPr>
        <w:t>9</w:t>
      </w:r>
      <w:r>
        <w:rPr>
          <w:rFonts w:hint="eastAsia" w:ascii="Times New Roman" w:hAnsi="Times New Roman" w:eastAsia="宋体"/>
          <w:b/>
          <w:bCs/>
          <w:i/>
          <w:iCs/>
          <w:sz w:val="20"/>
          <w:szCs w:val="20"/>
        </w:rPr>
        <w:t xml:space="preserve">: </w:t>
      </w:r>
      <w:r>
        <w:rPr>
          <w:rFonts w:ascii="Times New Roman" w:hAnsi="Times New Roman"/>
          <w:b/>
          <w:bCs/>
          <w:i/>
          <w:iCs/>
          <w:sz w:val="20"/>
          <w:szCs w:val="20"/>
        </w:rPr>
        <w:t xml:space="preserve">Support </w:t>
      </w:r>
      <w:r>
        <w:rPr>
          <w:rFonts w:hint="eastAsia" w:ascii="Times New Roman" w:hAnsi="Times New Roman"/>
          <w:b/>
          <w:bCs/>
          <w:i/>
          <w:iCs/>
          <w:sz w:val="20"/>
          <w:szCs w:val="20"/>
        </w:rPr>
        <w:t xml:space="preserve">a new RRC signaling to </w:t>
      </w:r>
      <w:r>
        <w:rPr>
          <w:rFonts w:ascii="Times New Roman" w:hAnsi="Times New Roman"/>
          <w:b/>
          <w:bCs/>
          <w:i/>
          <w:iCs/>
          <w:sz w:val="20"/>
          <w:szCs w:val="20"/>
        </w:rPr>
        <w:t>explicit</w:t>
      </w:r>
      <w:r>
        <w:rPr>
          <w:rFonts w:hint="eastAsia" w:ascii="Times New Roman" w:hAnsi="Times New Roman"/>
          <w:b/>
          <w:bCs/>
          <w:i/>
          <w:iCs/>
          <w:sz w:val="20"/>
          <w:szCs w:val="20"/>
        </w:rPr>
        <w:t xml:space="preserve">ly </w:t>
      </w:r>
      <w:r>
        <w:rPr>
          <w:rFonts w:ascii="Times New Roman" w:hAnsi="Times New Roman"/>
          <w:b/>
          <w:bCs/>
          <w:i/>
          <w:iCs/>
          <w:sz w:val="20"/>
          <w:szCs w:val="20"/>
        </w:rPr>
        <w:t>configure PUCCH resource grouping</w:t>
      </w:r>
      <w:r>
        <w:rPr>
          <w:rFonts w:hint="eastAsia" w:ascii="Times New Roman" w:hAnsi="Times New Roman"/>
          <w:b/>
          <w:bCs/>
          <w:i/>
          <w:iCs/>
          <w:sz w:val="20"/>
          <w:szCs w:val="20"/>
        </w:rPr>
        <w:t>.</w:t>
      </w:r>
      <w:r>
        <w:rPr>
          <w:rFonts w:ascii="Times New Roman" w:hAnsi="Times New Roman"/>
          <w:b/>
          <w:bCs/>
          <w:i/>
          <w:iCs/>
          <w:sz w:val="20"/>
          <w:szCs w:val="20"/>
        </w:rPr>
        <w:t xml:space="preserve">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addition, some carriers may not be configured for multi-TRP transmission, i.e. only one CORESET group is configured. In this case, PDSCH transmission only from one TRP is supported in these carriers. For semi-static HARQ-ACK codebook, the A/N bits will be unnecessary for the other TRP. </w:t>
      </w:r>
    </w:p>
    <w:p>
      <w:pPr>
        <w:snapToGrid w:val="0"/>
        <w:spacing w:before="180" w:beforeLines="50" w:after="180" w:afterLines="50" w:line="240" w:lineRule="auto"/>
        <w:jc w:val="both"/>
        <w:rPr>
          <w:rFonts w:ascii="Times New Roman" w:hAnsi="Times New Roman" w:eastAsia="宋体"/>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Rate matching</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TEI agenda, some agreement on CRS rate matching were agreed in RAN1#98 meeting as follows</w:t>
      </w:r>
    </w:p>
    <w:p>
      <w:pPr>
        <w:snapToGrid w:val="0"/>
        <w:spacing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hint="eastAsia" w:ascii="Times New Roman" w:hAnsi="Times New Roman"/>
          <w:i/>
          <w:iCs/>
          <w:sz w:val="20"/>
          <w:szCs w:val="20"/>
          <w:u w:val="single"/>
        </w:rPr>
        <w:t>#1</w:t>
      </w:r>
      <w:r>
        <w:rPr>
          <w:rFonts w:ascii="Times New Roman" w:hAnsi="Times New Roman"/>
          <w:i/>
          <w:iCs/>
          <w:sz w:val="20"/>
          <w:szCs w:val="20"/>
          <w:u w:val="single"/>
        </w:rPr>
        <w:t>:</w:t>
      </w:r>
    </w:p>
    <w:p>
      <w:pPr>
        <w:numPr>
          <w:ilvl w:val="0"/>
          <w:numId w:val="12"/>
        </w:numPr>
        <w:snapToGrid w:val="0"/>
        <w:spacing w:line="240" w:lineRule="auto"/>
        <w:rPr>
          <w:rFonts w:ascii="Times New Roman" w:hAnsi="Times New Roman"/>
          <w:i/>
          <w:iCs/>
          <w:sz w:val="20"/>
          <w:szCs w:val="20"/>
        </w:rPr>
      </w:pPr>
      <w:r>
        <w:rPr>
          <w:rFonts w:ascii="Times New Roman" w:hAnsi="Times New Roman"/>
          <w:i/>
          <w:iCs/>
          <w:sz w:val="20"/>
          <w:szCs w:val="20"/>
        </w:rPr>
        <w:t>For DSS TEI</w:t>
      </w:r>
    </w:p>
    <w:p>
      <w:pPr>
        <w:pStyle w:val="96"/>
        <w:numPr>
          <w:ilvl w:val="1"/>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Maximum number of LTE-CRS non-overlapping rate matching patterns within a NR carrier is X</w:t>
      </w:r>
    </w:p>
    <w:p>
      <w:pPr>
        <w:pStyle w:val="96"/>
        <w:numPr>
          <w:ilvl w:val="2"/>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X is three</w:t>
      </w:r>
    </w:p>
    <w:p>
      <w:pPr>
        <w:pStyle w:val="96"/>
        <w:numPr>
          <w:ilvl w:val="1"/>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Maximum number of LTE-CRS overlapping rate matching patterns within a part of NR carrier overlapping with a LTE carrier is Y</w:t>
      </w:r>
    </w:p>
    <w:p>
      <w:pPr>
        <w:pStyle w:val="96"/>
        <w:numPr>
          <w:ilvl w:val="2"/>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Y is two</w:t>
      </w:r>
    </w:p>
    <w:p>
      <w:pPr>
        <w:pStyle w:val="96"/>
        <w:numPr>
          <w:ilvl w:val="1"/>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Maximum number of LTE-CRS rate matching patterns in total within a NR carrier is Z</w:t>
      </w:r>
    </w:p>
    <w:p>
      <w:pPr>
        <w:pStyle w:val="96"/>
        <w:numPr>
          <w:ilvl w:val="2"/>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Z is six</w:t>
      </w:r>
    </w:p>
    <w:p>
      <w:pPr>
        <w:pStyle w:val="96"/>
        <w:numPr>
          <w:ilvl w:val="2"/>
          <w:numId w:val="12"/>
        </w:numPr>
        <w:snapToGrid w:val="0"/>
        <w:spacing w:after="120" w:line="240" w:lineRule="auto"/>
        <w:ind w:leftChars="0"/>
        <w:jc w:val="both"/>
        <w:rPr>
          <w:rFonts w:ascii="Times New Roman" w:hAnsi="Times New Roman"/>
          <w:i/>
          <w:iCs/>
          <w:sz w:val="20"/>
          <w:szCs w:val="20"/>
        </w:rPr>
      </w:pPr>
      <w:r>
        <w:rPr>
          <w:rFonts w:ascii="Times New Roman" w:hAnsi="Times New Roman"/>
          <w:i/>
          <w:iCs/>
          <w:sz w:val="20"/>
          <w:szCs w:val="20"/>
        </w:rPr>
        <w:t>UE capability for Z={[1,] 2, 3, 4, 5, 6} is defined</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MIMO agenda, the agreement on CRS rate matching was achieved in RAN1#98bis meeting as follows</w:t>
      </w:r>
    </w:p>
    <w:p>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hint="eastAsia" w:ascii="Times New Roman" w:hAnsi="Times New Roman"/>
          <w:i/>
          <w:iCs/>
          <w:sz w:val="20"/>
          <w:szCs w:val="20"/>
          <w:u w:val="single"/>
        </w:rPr>
        <w:t>#2</w:t>
      </w:r>
    </w:p>
    <w:p>
      <w:p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multi-DCI based multi-TRP/panel transmission, the UE shall rate match around: </w:t>
      </w:r>
    </w:p>
    <w:p>
      <w:pPr>
        <w:pStyle w:val="96"/>
        <w:numPr>
          <w:ilvl w:val="0"/>
          <w:numId w:val="13"/>
        </w:numPr>
        <w:snapToGrid w:val="0"/>
        <w:spacing w:after="0" w:line="240" w:lineRule="auto"/>
        <w:ind w:leftChars="0"/>
        <w:contextualSpacing/>
        <w:jc w:val="both"/>
        <w:rPr>
          <w:rFonts w:ascii="Times New Roman" w:hAnsi="Times New Roman" w:eastAsia="Malgun Gothic"/>
          <w:i/>
          <w:iCs/>
          <w:sz w:val="20"/>
          <w:szCs w:val="20"/>
          <w:lang w:eastAsia="ko-KR"/>
        </w:rPr>
      </w:pPr>
      <w:r>
        <w:rPr>
          <w:rFonts w:ascii="Times New Roman" w:hAnsi="Times New Roman" w:eastAsia="Malgun Gothic"/>
          <w:i/>
          <w:iCs/>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pPr>
        <w:pStyle w:val="96"/>
        <w:numPr>
          <w:ilvl w:val="1"/>
          <w:numId w:val="13"/>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This is a UE optional feature with separate UE capability signalling</w:t>
      </w:r>
    </w:p>
    <w:p>
      <w:pPr>
        <w:pStyle w:val="96"/>
        <w:numPr>
          <w:ilvl w:val="1"/>
          <w:numId w:val="13"/>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eastAsia="宋体"/>
          <w:i/>
          <w:iCs/>
          <w:sz w:val="20"/>
          <w:szCs w:val="20"/>
        </w:rPr>
        <w:t>If UE does not support this feature, the default UE behaviour is the following:</w:t>
      </w:r>
    </w:p>
    <w:p>
      <w:pPr>
        <w:pStyle w:val="96"/>
        <w:numPr>
          <w:ilvl w:val="2"/>
          <w:numId w:val="13"/>
        </w:numPr>
        <w:snapToGrid w:val="0"/>
        <w:spacing w:after="0" w:line="240" w:lineRule="auto"/>
        <w:ind w:leftChars="0"/>
        <w:contextualSpacing/>
        <w:jc w:val="both"/>
        <w:rPr>
          <w:rFonts w:ascii="Times New Roman" w:hAnsi="Times New Roman" w:eastAsia="宋体"/>
          <w:i/>
          <w:iCs/>
          <w:sz w:val="20"/>
          <w:szCs w:val="20"/>
        </w:rPr>
      </w:pPr>
      <w:r>
        <w:rPr>
          <w:rFonts w:ascii="Times New Roman" w:hAnsi="Times New Roman"/>
          <w:i/>
          <w:iCs/>
          <w:sz w:val="20"/>
          <w:szCs w:val="20"/>
        </w:rPr>
        <w:t xml:space="preserve">For multi-DCI based multi-TRP/panel transmission, the UE shall rate match PDSCH around </w:t>
      </w:r>
      <w:r>
        <w:rPr>
          <w:rFonts w:ascii="Times New Roman" w:hAnsi="Times New Roman" w:eastAsia="宋体"/>
          <w:i/>
          <w:iCs/>
          <w:sz w:val="20"/>
          <w:szCs w:val="20"/>
        </w:rPr>
        <w:t>configured CRS patterns from multiple TRPs</w:t>
      </w:r>
    </w:p>
    <w:p>
      <w:pPr>
        <w:snapToGrid w:val="0"/>
        <w:spacing w:after="0" w:line="240" w:lineRule="auto"/>
        <w:ind w:firstLine="720"/>
        <w:jc w:val="both"/>
        <w:rPr>
          <w:rFonts w:ascii="Times New Roman" w:hAnsi="Times New Roman"/>
          <w:i/>
          <w:iCs/>
          <w:sz w:val="20"/>
          <w:szCs w:val="20"/>
        </w:rPr>
      </w:pPr>
      <w:r>
        <w:rPr>
          <w:rFonts w:ascii="Times New Roman" w:hAnsi="Times New Roman"/>
          <w:i/>
          <w:iCs/>
          <w:sz w:val="20"/>
          <w:szCs w:val="20"/>
        </w:rPr>
        <w:t>FFS: Whether/How to handle DMRS shifting if CRS patterns are configured.</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If interference between two TRPs is not severe, independent CRS rate matching can be configured. So each CRS pattern can be associated with a higher layer index per CORESET.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If interference between two TRPs is severe as shown in Figure 2.2-1, both PDSCH 0 and PDSCH 1 should do rate matching around both CRS 0 and CRS 1 to mitigate serious interference. In this case, there are two ways to address this issue.</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Alt.1: One CRS pattern can be associated with two higher layer indices. Specifically, CRS pattern 0 is associated with both higher layer index 0 and 1, </w:t>
      </w:r>
      <w:r>
        <w:rPr>
          <w:rFonts w:ascii="Times New Roman" w:hAnsi="Times New Roman" w:eastAsia="宋体"/>
          <w:sz w:val="20"/>
          <w:szCs w:val="20"/>
        </w:rPr>
        <w:t>and</w:t>
      </w:r>
      <w:r>
        <w:rPr>
          <w:rFonts w:hint="eastAsia" w:ascii="Times New Roman" w:hAnsi="Times New Roman" w:eastAsia="宋体"/>
          <w:sz w:val="20"/>
          <w:szCs w:val="20"/>
        </w:rPr>
        <w:t xml:space="preserve"> both PDSCH 0 and PDSCH 1 should do rate matching around CRS pattern 0. Likewise, CRS pattern 1 is also associated with both higher layer index 0 and 1, </w:t>
      </w:r>
      <w:r>
        <w:rPr>
          <w:rFonts w:ascii="Times New Roman" w:hAnsi="Times New Roman" w:eastAsia="宋体"/>
          <w:sz w:val="20"/>
          <w:szCs w:val="20"/>
        </w:rPr>
        <w:t>and</w:t>
      </w:r>
      <w:r>
        <w:rPr>
          <w:rFonts w:hint="eastAsia" w:ascii="Times New Roman" w:hAnsi="Times New Roman" w:eastAsia="宋体"/>
          <w:sz w:val="20"/>
          <w:szCs w:val="20"/>
        </w:rPr>
        <w:t xml:space="preserve"> both PDSCH 0 and PDSCH 1 should do rate matching around CRS pattern 1.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Alt.2: One CRS pattern can only be associated with one higher layer index. In order to do rate matching around CRS 0 for both PDSCH0 and PDSCH1, CRS 0 should be associated with higher layer index 0. </w:t>
      </w:r>
      <w:r>
        <w:rPr>
          <w:rFonts w:ascii="Times New Roman" w:hAnsi="Times New Roman" w:eastAsia="宋体"/>
          <w:sz w:val="20"/>
          <w:szCs w:val="20"/>
        </w:rPr>
        <w:t>A</w:t>
      </w:r>
      <w:r>
        <w:rPr>
          <w:rFonts w:hint="eastAsia" w:ascii="Times New Roman" w:hAnsi="Times New Roman" w:eastAsia="宋体"/>
          <w:sz w:val="20"/>
          <w:szCs w:val="20"/>
        </w:rPr>
        <w:t xml:space="preserve">nother CRS pattern, e.g. CRS 2 should be associated with higher layer index 1. Likewise, </w:t>
      </w:r>
      <w:r>
        <w:rPr>
          <w:rFonts w:ascii="Times New Roman" w:hAnsi="Times New Roman" w:eastAsia="宋体"/>
          <w:sz w:val="20"/>
          <w:szCs w:val="20"/>
        </w:rPr>
        <w:t>i</w:t>
      </w:r>
      <w:r>
        <w:rPr>
          <w:rFonts w:hint="eastAsia" w:ascii="Times New Roman" w:hAnsi="Times New Roman" w:eastAsia="宋体"/>
          <w:sz w:val="20"/>
          <w:szCs w:val="20"/>
        </w:rPr>
        <w:t xml:space="preserve">n order to do rate matching around CRS 1 for both PDSCH0 and PDSCH1, CRS 1 should be associated with higher layer index 1. </w:t>
      </w:r>
      <w:r>
        <w:rPr>
          <w:rFonts w:ascii="Times New Roman" w:hAnsi="Times New Roman" w:eastAsia="宋体"/>
          <w:sz w:val="20"/>
          <w:szCs w:val="20"/>
        </w:rPr>
        <w:t>A</w:t>
      </w:r>
      <w:r>
        <w:rPr>
          <w:rFonts w:hint="eastAsia" w:ascii="Times New Roman" w:hAnsi="Times New Roman" w:eastAsia="宋体"/>
          <w:sz w:val="20"/>
          <w:szCs w:val="20"/>
        </w:rPr>
        <w:t xml:space="preserve">nother CRS pattern, e.g. CRS 3 should be associated with higher layer index 0. In this case, four CRS patterns in the same carrier should be configured.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However, based on the above Agreement#1, m</w:t>
      </w:r>
      <w:r>
        <w:rPr>
          <w:rFonts w:ascii="Times New Roman" w:hAnsi="Times New Roman"/>
          <w:sz w:val="20"/>
          <w:szCs w:val="20"/>
        </w:rPr>
        <w:t xml:space="preserve">aximum number of LTE-CRS overlapping rate matching patterns within a part of NR carrier overlapping with a LTE carrier is </w:t>
      </w:r>
      <w:r>
        <w:rPr>
          <w:rFonts w:hint="eastAsia" w:ascii="Times New Roman" w:hAnsi="Times New Roman"/>
          <w:sz w:val="20"/>
          <w:szCs w:val="20"/>
        </w:rPr>
        <w:t>just two instead of four. Therefore, Alt.2 cannot work in the scenario shown in Figure 2.2-1. So Alt.1 should be supported.</w:t>
      </w:r>
    </w:p>
    <w:p>
      <w:pPr>
        <w:snapToGrid w:val="0"/>
        <w:spacing w:before="180" w:beforeLines="50" w:after="180" w:afterLines="50" w:line="240" w:lineRule="auto"/>
        <w:jc w:val="center"/>
      </w:pPr>
      <w:r>
        <w:drawing>
          <wp:inline distT="0" distB="0" distL="114300" distR="114300">
            <wp:extent cx="4810125" cy="1080135"/>
            <wp:effectExtent l="0" t="0" r="9525" b="5715"/>
            <wp:docPr id="4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
                    <pic:cNvPicPr>
                      <a:picLocks noChangeAspect="1"/>
                    </pic:cNvPicPr>
                  </pic:nvPicPr>
                  <pic:blipFill>
                    <a:blip r:embed="rId18"/>
                    <a:stretch>
                      <a:fillRect/>
                    </a:stretch>
                  </pic:blipFill>
                  <pic:spPr>
                    <a:xfrm>
                      <a:off x="0" y="0"/>
                      <a:ext cx="4810125" cy="1080135"/>
                    </a:xfrm>
                    <a:prstGeom prst="rect">
                      <a:avLst/>
                    </a:prstGeom>
                    <a:noFill/>
                    <a:ln w="9525">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Figure 2.2-1 Severe interference between two TRPs</w:t>
      </w:r>
    </w:p>
    <w:p>
      <w:pPr>
        <w:snapToGrid w:val="0"/>
        <w:spacing w:after="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Proposal 1</w:t>
      </w:r>
      <w:r>
        <w:rPr>
          <w:rFonts w:hint="eastAsia" w:ascii="Times New Roman" w:hAnsi="Times New Roman" w:eastAsia="宋体"/>
          <w:b/>
          <w:bCs/>
          <w:i/>
          <w:iCs/>
          <w:sz w:val="20"/>
          <w:szCs w:val="20"/>
          <w:lang w:val="en-US" w:eastAsia="zh-CN"/>
        </w:rPr>
        <w:t>0</w:t>
      </w:r>
      <w:r>
        <w:rPr>
          <w:rFonts w:hint="eastAsia" w:ascii="Times New Roman" w:hAnsi="Times New Roman" w:eastAsia="宋体"/>
          <w:b/>
          <w:bCs/>
          <w:i/>
          <w:iCs/>
          <w:sz w:val="20"/>
          <w:szCs w:val="20"/>
        </w:rPr>
        <w:t>: Support associating one CRS pattern with two higher layer indices.</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rPr>
      </w:pP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rPr>
      </w:pPr>
      <w:r>
        <w:rPr>
          <w:rFonts w:hint="eastAsia" w:ascii="Times New Roman" w:hAnsi="Times New Roman" w:eastAsia="宋体"/>
          <w:sz w:val="20"/>
          <w:szCs w:val="20"/>
        </w:rPr>
        <w:t xml:space="preserve">For other rate matching parameters, such as </w:t>
      </w:r>
      <w:r>
        <w:rPr>
          <w:rFonts w:ascii="Times New Roman" w:hAnsi="Times New Roman"/>
          <w:i/>
          <w:iCs/>
          <w:sz w:val="20"/>
          <w:szCs w:val="20"/>
        </w:rPr>
        <w:t>rateMatchPattern</w:t>
      </w:r>
      <w:r>
        <w:rPr>
          <w:rFonts w:ascii="Times New Roman" w:hAnsi="Times New Roman" w:eastAsia="宋体"/>
          <w:sz w:val="20"/>
          <w:szCs w:val="20"/>
        </w:rPr>
        <w:t xml:space="preserve"> and</w:t>
      </w:r>
      <w:r>
        <w:rPr>
          <w:rFonts w:hint="eastAsia" w:ascii="Times New Roman" w:hAnsi="Times New Roman" w:eastAsia="宋体"/>
          <w:sz w:val="20"/>
          <w:szCs w:val="20"/>
        </w:rPr>
        <w:t xml:space="preserve"> ZP CSI-RS resources, it is better to also support separate rate matching for two coordinated TRPs. That</w:t>
      </w:r>
      <w:r>
        <w:rPr>
          <w:rFonts w:ascii="Times New Roman" w:hAnsi="Times New Roman" w:eastAsia="宋体"/>
          <w:sz w:val="20"/>
          <w:szCs w:val="20"/>
        </w:rPr>
        <w:t>’</w:t>
      </w:r>
      <w:r>
        <w:rPr>
          <w:rFonts w:hint="eastAsia" w:ascii="Times New Roman" w:hAnsi="Times New Roman" w:eastAsia="宋体"/>
          <w:sz w:val="20"/>
          <w:szCs w:val="20"/>
        </w:rPr>
        <w:t>s because the signal</w:t>
      </w:r>
      <w:r>
        <w:rPr>
          <w:rFonts w:ascii="Times New Roman" w:hAnsi="Times New Roman" w:eastAsia="宋体"/>
          <w:sz w:val="20"/>
          <w:szCs w:val="20"/>
        </w:rPr>
        <w:t xml:space="preserve"> (e.g. CSI-RS)</w:t>
      </w:r>
      <w:r>
        <w:rPr>
          <w:rFonts w:hint="eastAsia" w:ascii="Times New Roman" w:hAnsi="Times New Roman" w:eastAsia="宋体"/>
          <w:sz w:val="20"/>
          <w:szCs w:val="20"/>
        </w:rPr>
        <w:t xml:space="preserve"> </w:t>
      </w:r>
      <w:r>
        <w:rPr>
          <w:rFonts w:ascii="Times New Roman" w:hAnsi="Times New Roman" w:eastAsia="宋体"/>
          <w:sz w:val="20"/>
          <w:szCs w:val="20"/>
        </w:rPr>
        <w:t xml:space="preserve">transmitted </w:t>
      </w:r>
      <w:r>
        <w:rPr>
          <w:rFonts w:hint="eastAsia" w:ascii="Times New Roman" w:hAnsi="Times New Roman" w:eastAsia="宋体"/>
          <w:sz w:val="20"/>
          <w:szCs w:val="20"/>
        </w:rPr>
        <w:t xml:space="preserve">on rate matching resources from TRP0 may not introduce </w:t>
      </w:r>
      <w:r>
        <w:rPr>
          <w:rFonts w:ascii="Times New Roman" w:hAnsi="Times New Roman" w:eastAsia="宋体"/>
          <w:sz w:val="20"/>
          <w:szCs w:val="20"/>
        </w:rPr>
        <w:t>much</w:t>
      </w:r>
      <w:r>
        <w:rPr>
          <w:rFonts w:hint="eastAsia" w:ascii="Times New Roman" w:hAnsi="Times New Roman" w:eastAsia="宋体"/>
          <w:sz w:val="20"/>
          <w:szCs w:val="20"/>
        </w:rPr>
        <w:t xml:space="preserve"> interference </w:t>
      </w:r>
      <w:r>
        <w:rPr>
          <w:rFonts w:ascii="Times New Roman" w:hAnsi="Times New Roman" w:eastAsia="宋体"/>
          <w:sz w:val="20"/>
          <w:szCs w:val="20"/>
        </w:rPr>
        <w:t>to</w:t>
      </w:r>
      <w:r>
        <w:rPr>
          <w:rFonts w:hint="eastAsia" w:ascii="Times New Roman" w:hAnsi="Times New Roman" w:eastAsia="宋体"/>
          <w:sz w:val="20"/>
          <w:szCs w:val="20"/>
        </w:rPr>
        <w:t xml:space="preserve"> PDSCH </w:t>
      </w:r>
      <w:r>
        <w:rPr>
          <w:rFonts w:ascii="Times New Roman" w:hAnsi="Times New Roman" w:eastAsia="宋体"/>
          <w:sz w:val="20"/>
          <w:szCs w:val="20"/>
        </w:rPr>
        <w:t xml:space="preserve">transmitted </w:t>
      </w:r>
      <w:r>
        <w:rPr>
          <w:rFonts w:hint="eastAsia" w:ascii="Times New Roman" w:hAnsi="Times New Roman" w:eastAsia="宋体"/>
          <w:sz w:val="20"/>
          <w:szCs w:val="20"/>
        </w:rPr>
        <w:t xml:space="preserve">from TRP1. Therefore, rate matching resources for two TRPs should be separately configured, including </w:t>
      </w:r>
    </w:p>
    <w:p>
      <w:pPr>
        <w:pStyle w:val="94"/>
        <w:snapToGrid w:val="0"/>
        <w:spacing w:before="180" w:beforeLines="50" w:after="180" w:afterLines="50" w:line="240" w:lineRule="auto"/>
        <w:ind w:left="0" w:leftChars="0"/>
        <w:contextualSpacing/>
        <w:jc w:val="both"/>
        <w:rPr>
          <w:rFonts w:ascii="Times New Roman" w:hAnsi="Times New Roman" w:eastAsia="宋体"/>
          <w:sz w:val="20"/>
          <w:szCs w:val="20"/>
        </w:rPr>
      </w:pPr>
    </w:p>
    <w:p>
      <w:pPr>
        <w:pStyle w:val="94"/>
        <w:numPr>
          <w:ilvl w:val="0"/>
          <w:numId w:val="7"/>
        </w:numPr>
        <w:snapToGrid w:val="0"/>
        <w:spacing w:before="180" w:beforeLines="50" w:after="180" w:afterLines="50" w:line="240" w:lineRule="auto"/>
        <w:ind w:left="726" w:leftChars="0" w:hanging="363"/>
        <w:contextualSpacing/>
        <w:jc w:val="both"/>
        <w:rPr>
          <w:rFonts w:ascii="Times New Roman" w:hAnsi="Times New Roman"/>
          <w:sz w:val="20"/>
          <w:szCs w:val="20"/>
        </w:rPr>
      </w:pPr>
      <w:r>
        <w:rPr>
          <w:rFonts w:ascii="Times New Roman" w:hAnsi="Times New Roman"/>
          <w:sz w:val="20"/>
          <w:szCs w:val="20"/>
        </w:rPr>
        <w:t>rateMatchPattern, rateMatchPatternGroup, aperiodic ZP CSI-RS resource sets, semi-persistent ZP CSI-RS resource sets, periodic ZP CSI-RS resource sets</w:t>
      </w:r>
      <w:r>
        <w:rPr>
          <w:rFonts w:hint="eastAsia" w:ascii="Times New Roman" w:hAnsi="Times New Roman"/>
          <w:sz w:val="20"/>
          <w:szCs w:val="20"/>
        </w:rPr>
        <w:t>.</w:t>
      </w:r>
    </w:p>
    <w:p>
      <w:pPr>
        <w:pStyle w:val="94"/>
        <w:numPr>
          <w:ilvl w:val="0"/>
          <w:numId w:val="7"/>
        </w:numPr>
        <w:snapToGrid w:val="0"/>
        <w:spacing w:before="180" w:beforeLines="50" w:after="180" w:afterLines="50" w:line="240" w:lineRule="auto"/>
        <w:ind w:left="726" w:leftChars="0" w:hanging="363"/>
        <w:contextualSpacing/>
        <w:jc w:val="both"/>
        <w:rPr>
          <w:rFonts w:ascii="Times New Roman" w:hAnsi="Times New Roman"/>
          <w:sz w:val="20"/>
          <w:szCs w:val="20"/>
        </w:rPr>
      </w:pPr>
      <w:r>
        <w:rPr>
          <w:rFonts w:ascii="Times New Roman" w:hAnsi="Times New Roman"/>
          <w:sz w:val="20"/>
          <w:szCs w:val="20"/>
        </w:rPr>
        <w:t>rateMatchPattern</w:t>
      </w:r>
    </w:p>
    <w:p>
      <w:pPr>
        <w:pStyle w:val="94"/>
        <w:numPr>
          <w:ilvl w:val="0"/>
          <w:numId w:val="7"/>
        </w:numPr>
        <w:snapToGrid w:val="0"/>
        <w:spacing w:before="180" w:beforeLines="50" w:after="180" w:afterLines="50" w:line="240" w:lineRule="auto"/>
        <w:ind w:left="726" w:leftChars="0" w:hanging="363"/>
        <w:contextualSpacing/>
        <w:jc w:val="both"/>
        <w:rPr>
          <w:rFonts w:ascii="Times New Roman" w:hAnsi="Times New Roman"/>
          <w:i/>
          <w:iCs/>
          <w:sz w:val="20"/>
          <w:szCs w:val="20"/>
        </w:rPr>
      </w:pPr>
      <w:r>
        <w:rPr>
          <w:rFonts w:hint="eastAsia" w:ascii="Times New Roman" w:hAnsi="Times New Roman"/>
          <w:sz w:val="20"/>
          <w:szCs w:val="20"/>
        </w:rPr>
        <w:t>Semi-</w:t>
      </w:r>
      <w:r>
        <w:rPr>
          <w:rFonts w:ascii="Times New Roman" w:hAnsi="Times New Roman"/>
          <w:sz w:val="20"/>
          <w:szCs w:val="20"/>
        </w:rPr>
        <w:t>persistent</w:t>
      </w:r>
      <w:r>
        <w:rPr>
          <w:rFonts w:hint="eastAsia" w:ascii="Times New Roman" w:hAnsi="Times New Roman"/>
          <w:sz w:val="20"/>
          <w:szCs w:val="20"/>
        </w:rPr>
        <w:t xml:space="preserve"> and periodic NZP CSI-RS resource sets </w:t>
      </w:r>
      <w:r>
        <w:rPr>
          <w:rFonts w:hint="eastAsia" w:ascii="Times New Roman" w:hAnsi="Times New Roman"/>
          <w:i/>
          <w:iCs/>
          <w:sz w:val="20"/>
          <w:szCs w:val="20"/>
        </w:rPr>
        <w:t xml:space="preserve"> </w:t>
      </w:r>
    </w:p>
    <w:p>
      <w:pPr>
        <w:snapToGrid w:val="0"/>
        <w:spacing w:after="0" w:line="240" w:lineRule="auto"/>
        <w:jc w:val="both"/>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TCI</w:t>
      </w:r>
    </w:p>
    <w:p>
      <w:pPr>
        <w:pStyle w:val="94"/>
        <w:snapToGrid w:val="0"/>
        <w:spacing w:after="0" w:line="240" w:lineRule="auto"/>
        <w:ind w:left="0" w:leftChars="0"/>
        <w:contextualSpacing/>
        <w:jc w:val="both"/>
        <w:rPr>
          <w:rFonts w:ascii="Times New Roman" w:hAnsi="Times New Roman"/>
          <w:sz w:val="20"/>
          <w:szCs w:val="20"/>
        </w:rPr>
      </w:pPr>
      <w:r>
        <w:rPr>
          <w:rFonts w:hint="eastAsia" w:ascii="Times New Roman" w:hAnsi="Times New Roman"/>
          <w:sz w:val="20"/>
          <w:szCs w:val="20"/>
        </w:rPr>
        <w:t xml:space="preserve">Because two TRPs have different locations, QCL references may be different. So the candidates of TCI states activated by MAC-CE for the two TRPs should be separate. In Rel-15, maximum 8 TCI states from single TRP can be activated by this MAC-CE. For multi-TRP transmission based on multiple PDCCH design,to achieve flexibility per each TRP scheduling, especially on FR2, the total number of activate TCI states for the two TRPs should be increased to up to 16. There are two enhancement can be considered: </w:t>
      </w:r>
    </w:p>
    <w:p>
      <w:pPr>
        <w:pStyle w:val="94"/>
        <w:snapToGrid w:val="0"/>
        <w:spacing w:after="0" w:line="240" w:lineRule="auto"/>
        <w:ind w:left="0" w:leftChars="0"/>
        <w:contextualSpacing/>
        <w:jc w:val="both"/>
        <w:rPr>
          <w:rFonts w:ascii="Times New Roman" w:hAnsi="Times New Roman"/>
          <w:sz w:val="20"/>
          <w:szCs w:val="20"/>
        </w:rPr>
      </w:pPr>
    </w:p>
    <w:p>
      <w:pPr>
        <w:pStyle w:val="94"/>
        <w:snapToGrid w:val="0"/>
        <w:spacing w:before="180" w:beforeLines="50" w:after="180" w:afterLines="50" w:line="240" w:lineRule="auto"/>
        <w:ind w:left="0" w:leftChars="0"/>
        <w:contextualSpacing/>
        <w:jc w:val="both"/>
        <w:rPr>
          <w:rFonts w:ascii="Times New Roman" w:hAnsi="Times New Roman"/>
          <w:sz w:val="20"/>
          <w:szCs w:val="20"/>
        </w:rPr>
      </w:pPr>
      <w:r>
        <w:rPr>
          <w:rFonts w:hint="eastAsia" w:ascii="Times New Roman" w:hAnsi="Times New Roman"/>
          <w:sz w:val="20"/>
          <w:szCs w:val="20"/>
        </w:rPr>
        <w:t>Option 1: Support separate MAC-CE transmission to activate/deactivate maximum 8 TCI states for each TRP. How to associate each MAC-CE transmission with the higher layer index per COROESET is up to RAN2</w:t>
      </w:r>
    </w:p>
    <w:p>
      <w:pPr>
        <w:pStyle w:val="94"/>
        <w:snapToGrid w:val="0"/>
        <w:spacing w:before="180" w:beforeLines="50" w:after="180" w:afterLines="50" w:line="240" w:lineRule="auto"/>
        <w:ind w:left="0" w:leftChars="0"/>
        <w:contextualSpacing/>
        <w:jc w:val="both"/>
        <w:rPr>
          <w:rFonts w:ascii="Times New Roman" w:hAnsi="Times New Roman"/>
          <w:sz w:val="20"/>
          <w:szCs w:val="20"/>
        </w:rPr>
      </w:pPr>
    </w:p>
    <w:p>
      <w:pPr>
        <w:pStyle w:val="94"/>
        <w:snapToGrid w:val="0"/>
        <w:spacing w:after="0" w:line="240" w:lineRule="auto"/>
        <w:ind w:left="0" w:leftChars="0"/>
        <w:contextualSpacing/>
        <w:jc w:val="both"/>
        <w:rPr>
          <w:rFonts w:ascii="Times New Roman" w:hAnsi="Times New Roman"/>
          <w:sz w:val="20"/>
          <w:szCs w:val="20"/>
        </w:rPr>
      </w:pPr>
      <w:r>
        <w:rPr>
          <w:rFonts w:hint="eastAsia" w:ascii="Times New Roman" w:hAnsi="Times New Roman"/>
          <w:sz w:val="20"/>
          <w:szCs w:val="20"/>
        </w:rPr>
        <w:t xml:space="preserve">Option 2: One MAC-CE is used to activate maximum 16 TCI states for the two TRPs, where the first half of activated TCI states can be for TRP0 and the remaining activated TCI states can be for TRP1. </w:t>
      </w:r>
    </w:p>
    <w:p>
      <w:pPr>
        <w:snapToGrid w:val="0"/>
        <w:spacing w:before="180" w:beforeLines="50" w:after="0" w:line="240" w:lineRule="auto"/>
        <w:jc w:val="both"/>
        <w:rPr>
          <w:rFonts w:ascii="Times New Roman" w:hAnsi="Times New Roman"/>
          <w:b/>
          <w:bCs/>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b/>
          <w:bCs/>
          <w:i/>
          <w:iCs/>
          <w:sz w:val="20"/>
          <w:szCs w:val="20"/>
          <w:lang w:val="en-US" w:eastAsia="zh-CN"/>
        </w:rPr>
        <w:t>1</w:t>
      </w:r>
      <w:r>
        <w:rPr>
          <w:rFonts w:hint="eastAsia" w:ascii="Times New Roman" w:hAnsi="Times New Roman"/>
          <w:b/>
          <w:bCs/>
          <w:i/>
          <w:iCs/>
          <w:sz w:val="20"/>
          <w:szCs w:val="20"/>
        </w:rPr>
        <w:t>: The maximum number of MAC-CE activated TCI states should be increased to 16.</w:t>
      </w:r>
    </w:p>
    <w:p>
      <w:pPr>
        <w:pStyle w:val="94"/>
        <w:numPr>
          <w:ilvl w:val="0"/>
          <w:numId w:val="7"/>
        </w:numPr>
        <w:snapToGrid w:val="0"/>
        <w:spacing w:after="0" w:line="240" w:lineRule="auto"/>
        <w:ind w:left="726" w:leftChars="0" w:hanging="363"/>
        <w:contextualSpacing/>
        <w:jc w:val="both"/>
        <w:rPr>
          <w:rFonts w:ascii="Times New Roman" w:hAnsi="Times New Roman"/>
          <w:b/>
          <w:bCs/>
          <w:i/>
          <w:iCs/>
          <w:sz w:val="20"/>
          <w:szCs w:val="20"/>
        </w:rPr>
      </w:pPr>
      <w:r>
        <w:rPr>
          <w:rFonts w:hint="eastAsia" w:ascii="Times New Roman" w:hAnsi="Times New Roman"/>
          <w:b/>
          <w:bCs/>
          <w:i/>
          <w:iCs/>
          <w:sz w:val="20"/>
          <w:szCs w:val="20"/>
        </w:rPr>
        <w:t>Option 1:Support separate MAC-CE transmission to activate/deactivate maximum 8 TCI states for each TRP</w:t>
      </w:r>
    </w:p>
    <w:p>
      <w:pPr>
        <w:pStyle w:val="94"/>
        <w:numPr>
          <w:ilvl w:val="0"/>
          <w:numId w:val="7"/>
        </w:numPr>
        <w:snapToGrid w:val="0"/>
        <w:spacing w:after="0" w:line="240" w:lineRule="auto"/>
        <w:ind w:left="726" w:leftChars="0" w:hanging="363"/>
        <w:contextualSpacing/>
        <w:jc w:val="both"/>
        <w:rPr>
          <w:rFonts w:ascii="Times New Roman" w:hAnsi="Times New Roman"/>
          <w:b/>
          <w:bCs/>
          <w:i/>
          <w:iCs/>
          <w:sz w:val="20"/>
          <w:szCs w:val="20"/>
        </w:rPr>
      </w:pPr>
      <w:r>
        <w:rPr>
          <w:rFonts w:hint="eastAsia" w:ascii="Times New Roman" w:hAnsi="Times New Roman"/>
          <w:b/>
          <w:bCs/>
          <w:i/>
          <w:iCs/>
          <w:sz w:val="20"/>
          <w:szCs w:val="20"/>
        </w:rPr>
        <w:t>Option 2: One MAC-CE is used to activate maximum 16 TCI states for the two TRPs.</w:t>
      </w:r>
    </w:p>
    <w:p>
      <w:pPr>
        <w:snapToGrid w:val="0"/>
        <w:spacing w:before="180" w:beforeLines="50" w:after="180" w:afterLines="50" w:line="240" w:lineRule="auto"/>
        <w:jc w:val="both"/>
        <w:rPr>
          <w:rFonts w:ascii="Times New Roman" w:hAnsi="Times New Roman"/>
          <w:i/>
          <w:iCs/>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Default beam</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Rel-15 for PDSCH transmission, default QCL assumptions are used when the offset between the reception of the DL DCI and the corresponding PDSCH is less than the threshold </w:t>
      </w:r>
      <w:r>
        <w:rPr>
          <w:rFonts w:hint="eastAsia" w:ascii="Times New Roman" w:hAnsi="Times New Roman" w:eastAsia="宋体"/>
          <w:i/>
          <w:iCs/>
          <w:sz w:val="20"/>
          <w:szCs w:val="20"/>
        </w:rPr>
        <w:t xml:space="preserve">timeDurationForQCL. </w:t>
      </w:r>
      <w:r>
        <w:rPr>
          <w:rFonts w:hint="eastAsia" w:ascii="Times New Roman" w:hAnsi="Times New Roman" w:eastAsia="宋体"/>
          <w:sz w:val="20"/>
          <w:szCs w:val="20"/>
        </w:rPr>
        <w:t>In this case, the UE may assume that the DM-RS ports of PDSCH of a serving cell are quasi co-located with the RS(s) in the TCI state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multiple PDCCHs design, there is no ideal backhaul between two coordinated TRPs in typical multiple PDCCH design scenario. In this case, two independent PDCCHs are supported and each PDCCH schedules one PDSCH. The following scenario as shown in Figure 2.2-2 may have some issues on the default QCL assumption wherein each DCI and corresponding PDSCH are transmitted from the same TRP. This kind of transmission is the typical scenario for the multiple PDCCH design. When the offset between the DL DCI and the PDSCH is less than the threshold, only one of the two PDSCHs can take the lowest CORESET-ID as the source of the default QCL assumption since the lowest CORESET-ID is only transmitted from one TRP. It is obvious that the PDSCH and the CORESET with lowest CORESET-ID should be from the same TRP. Therefore, two CORESET groups should be set and each group is corresponding to one TRP respectively. The QCL assumption of each PDSCH should be inferred from the lowest CORESET-ID within corresponding CORESET group. </w:t>
      </w:r>
    </w:p>
    <w:p>
      <w:pPr>
        <w:snapToGrid w:val="0"/>
        <w:spacing w:before="180" w:beforeLines="50" w:after="180" w:afterLines="50" w:line="240" w:lineRule="auto"/>
        <w:jc w:val="center"/>
      </w:pPr>
      <w:r>
        <w:pict>
          <v:shape id="_x0000_i1025" o:spt="75" type="#_x0000_t75" style="height:158.65pt;width:237.2pt;" filled="f" o:preferrelative="t" stroked="f" coordsize="21600,21600">
            <v:path/>
            <v:fill on="f" focussize="0,0"/>
            <v:stroke on="f" joinstyle="miter"/>
            <v:imagedata r:id="rId19" o:title=""/>
            <o:lock v:ext="edit" aspectratio="t"/>
            <w10:wrap type="none"/>
            <w10:anchorlock/>
          </v:shape>
        </w:pict>
      </w:r>
    </w:p>
    <w:p>
      <w:pPr>
        <w:snapToGrid w:val="0"/>
        <w:spacing w:before="180" w:beforeLines="50" w:after="180" w:afterLines="50" w:line="240" w:lineRule="auto"/>
        <w:ind w:firstLine="2600" w:firstLineChars="1300"/>
        <w:jc w:val="both"/>
        <w:rPr>
          <w:rFonts w:ascii="Times New Roman" w:hAnsi="Times New Roman" w:eastAsia="宋体"/>
          <w:sz w:val="20"/>
          <w:szCs w:val="20"/>
        </w:rPr>
      </w:pPr>
      <w:r>
        <w:rPr>
          <w:rFonts w:hint="eastAsia" w:ascii="Times New Roman" w:hAnsi="Times New Roman" w:eastAsia="宋体"/>
          <w:sz w:val="20"/>
          <w:szCs w:val="20"/>
        </w:rPr>
        <w:t>Figure 2.2-2 Different DCI transmitted by different TRP</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i/>
          <w:iCs/>
          <w:sz w:val="20"/>
          <w:szCs w:val="20"/>
        </w:rPr>
        <w:t>Proposal 1</w:t>
      </w:r>
      <w:r>
        <w:rPr>
          <w:rFonts w:hint="eastAsia" w:ascii="Times New Roman" w:hAnsi="Times New Roman" w:eastAsia="宋体"/>
          <w:b/>
          <w:bCs/>
          <w:i/>
          <w:iCs/>
          <w:sz w:val="20"/>
          <w:szCs w:val="20"/>
          <w:lang w:val="en-US" w:eastAsia="zh-CN"/>
        </w:rPr>
        <w:t>2</w:t>
      </w:r>
      <w:r>
        <w:rPr>
          <w:rFonts w:hint="eastAsia" w:ascii="Times New Roman" w:hAnsi="Times New Roman" w:eastAsia="宋体"/>
          <w:b/>
          <w:bCs/>
          <w:i/>
          <w:iCs/>
          <w:sz w:val="20"/>
          <w:szCs w:val="20"/>
        </w:rPr>
        <w:t>: The QCL assumption of each PDSCH should be inferred from the lowest CORESET-ID within the CORESET group when the offset between the DL DCI and the PDSCH is less than the threshold</w:t>
      </w:r>
      <w:r>
        <w:rPr>
          <w:rFonts w:hint="eastAsia" w:ascii="Times New Roman" w:hAnsi="Times New Roman" w:eastAsia="宋体"/>
          <w:b/>
          <w:bCs/>
          <w:sz w:val="20"/>
          <w:szCs w:val="20"/>
        </w:rPr>
        <w:t>.</w:t>
      </w:r>
    </w:p>
    <w:p>
      <w:pPr>
        <w:snapToGrid w:val="0"/>
        <w:spacing w:before="180" w:beforeLines="50" w:after="180" w:afterLines="50" w:line="240" w:lineRule="auto"/>
        <w:jc w:val="both"/>
        <w:rPr>
          <w:rFonts w:ascii="Times New Roman" w:hAnsi="Times New Roman" w:eastAsia="宋体"/>
          <w:sz w:val="20"/>
          <w:szCs w:val="20"/>
        </w:rPr>
      </w:pPr>
    </w:p>
    <w:p>
      <w:pPr>
        <w:pStyle w:val="5"/>
        <w:numPr>
          <w:ilvl w:val="3"/>
          <w:numId w:val="0"/>
        </w:numPr>
        <w:snapToGrid w:val="0"/>
        <w:spacing w:before="180" w:beforeLines="50" w:after="180" w:afterLines="50"/>
        <w:rPr>
          <w:rFonts w:eastAsia="宋体"/>
          <w:sz w:val="20"/>
          <w:szCs w:val="20"/>
          <w:lang w:val="en-US"/>
        </w:rPr>
      </w:pPr>
      <w:r>
        <w:rPr>
          <w:rFonts w:hint="eastAsia" w:eastAsia="宋体"/>
          <w:sz w:val="20"/>
          <w:szCs w:val="20"/>
          <w:lang w:val="en-US"/>
        </w:rPr>
        <w:t>DCI format 1_0</w:t>
      </w:r>
    </w:p>
    <w:p>
      <w:pPr>
        <w:numPr>
          <w:ilvl w:val="255"/>
          <w:numId w:val="0"/>
        </w:numPr>
        <w:snapToGrid w:val="0"/>
        <w:rPr>
          <w:rFonts w:ascii="Times New Roman" w:hAnsi="Times New Roman"/>
          <w:sz w:val="20"/>
          <w:szCs w:val="20"/>
        </w:rPr>
      </w:pPr>
      <w:r>
        <w:rPr>
          <w:rFonts w:hint="eastAsia" w:ascii="Times New Roman" w:hAnsi="Times New Roman"/>
          <w:sz w:val="20"/>
          <w:szCs w:val="20"/>
        </w:rPr>
        <w:t>So far, the enhancements for multi-DCI based NCJT can be used for PDSCH scheduled by either DCI format 1_1 or 1_0 with USS, except DMRS related agreements. Based on the current agreements, if PDSCHs from two TRPs are overlapping, the corresponding DMRS ports should be in different CDM groups. In order to satisfy this agreement for PDSCHs scheduled by DCI format 1_0, DMRS port 2 or 3 can be used if a PDSCH is scheduled by the DCI which is associated with higher layer index 1.</w:t>
      </w:r>
    </w:p>
    <w:p>
      <w:pPr>
        <w:numPr>
          <w:ilvl w:val="255"/>
          <w:numId w:val="0"/>
        </w:numPr>
        <w:snapToGrid w:val="0"/>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b/>
          <w:bCs/>
          <w:i/>
          <w:iCs/>
          <w:sz w:val="20"/>
          <w:szCs w:val="20"/>
          <w:lang w:val="en-US" w:eastAsia="zh-CN"/>
        </w:rPr>
        <w:t>3</w:t>
      </w:r>
      <w:r>
        <w:rPr>
          <w:rFonts w:hint="eastAsia" w:ascii="Times New Roman" w:hAnsi="Times New Roman"/>
          <w:b/>
          <w:bCs/>
          <w:i/>
          <w:iCs/>
          <w:sz w:val="20"/>
          <w:szCs w:val="20"/>
        </w:rPr>
        <w:t xml:space="preserve">: DMRS port 2 or 3 can be used if a PDSCH is scheduled by a DCI format 1_0 which is associated with higher layer index 1. </w:t>
      </w:r>
      <w:bookmarkStart w:id="9" w:name="_GoBack"/>
      <w:bookmarkEnd w:id="9"/>
    </w:p>
    <w:p>
      <w:pPr>
        <w:numPr>
          <w:ilvl w:val="255"/>
          <w:numId w:val="0"/>
        </w:numPr>
        <w:snapToGrid w:val="0"/>
        <w:rPr>
          <w:rFonts w:ascii="Times New Roman" w:hAnsi="Times New Roman"/>
          <w:i/>
          <w:iCs/>
          <w:sz w:val="20"/>
          <w:szCs w:val="20"/>
        </w:rPr>
      </w:pPr>
    </w:p>
    <w:p>
      <w:pPr>
        <w:pStyle w:val="5"/>
        <w:numPr>
          <w:ilvl w:val="3"/>
          <w:numId w:val="0"/>
        </w:numPr>
        <w:snapToGrid w:val="0"/>
        <w:spacing w:before="180" w:beforeLines="50" w:after="180" w:afterLines="50"/>
        <w:ind w:left="420" w:hanging="420"/>
        <w:rPr>
          <w:rFonts w:eastAsia="宋体"/>
          <w:b w:val="0"/>
          <w:bCs w:val="0"/>
          <w:sz w:val="20"/>
          <w:szCs w:val="20"/>
          <w:lang w:eastAsia="ko-KR"/>
        </w:rPr>
      </w:pPr>
      <w:r>
        <w:rPr>
          <w:rFonts w:eastAsia="宋体"/>
          <w:sz w:val="20"/>
          <w:szCs w:val="20"/>
          <w:lang w:val="en-US"/>
        </w:rPr>
        <w:t xml:space="preserve">Multi-DCI based PDSCH repetition </w:t>
      </w:r>
    </w:p>
    <w:p>
      <w:pPr>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RAN1#98 meeting, there is a FFS point </w:t>
      </w:r>
      <w:r>
        <w:rPr>
          <w:rFonts w:hint="eastAsia" w:ascii="Times New Roman" w:hAnsi="Times New Roman" w:eastAsia="宋体"/>
          <w:sz w:val="20"/>
          <w:szCs w:val="20"/>
        </w:rPr>
        <w:t xml:space="preserve">on whether to support multi-DCI based PDSCH repetition. </w:t>
      </w:r>
    </w:p>
    <w:p>
      <w:pPr>
        <w:pStyle w:val="94"/>
        <w:numPr>
          <w:ilvl w:val="0"/>
          <w:numId w:val="14"/>
        </w:numPr>
        <w:snapToGrid w:val="0"/>
        <w:ind w:leftChars="0"/>
        <w:rPr>
          <w:rFonts w:ascii="Times New Roman" w:hAnsi="Times New Roman"/>
          <w:i/>
          <w:iCs/>
          <w:sz w:val="20"/>
          <w:szCs w:val="20"/>
        </w:rPr>
      </w:pPr>
      <w:r>
        <w:rPr>
          <w:rFonts w:ascii="Times New Roman" w:hAnsi="Times New Roman"/>
          <w:i/>
          <w:iCs/>
          <w:sz w:val="20"/>
          <w:szCs w:val="20"/>
          <w:lang w:eastAsia="ko-KR"/>
        </w:rPr>
        <w:t>FFS: Support of multi-DCI based FDM scheme with repetition (to be concluded in RAN1#98)</w:t>
      </w:r>
    </w:p>
    <w:p>
      <w:pPr>
        <w:snapToGrid w:val="0"/>
        <w:spacing w:before="180" w:beforeLines="50" w:after="180" w:afterLines="50" w:line="240" w:lineRule="auto"/>
        <w:jc w:val="both"/>
        <w:rPr>
          <w:rFonts w:ascii="Times New Roman" w:hAnsi="Times New Roman" w:eastAsia="宋体"/>
          <w:b/>
          <w:bCs/>
          <w:i/>
          <w:iCs/>
          <w:sz w:val="20"/>
          <w:szCs w:val="20"/>
        </w:rPr>
      </w:pPr>
      <w:r>
        <w:rPr>
          <w:rFonts w:hint="eastAsia" w:ascii="Times New Roman" w:hAnsi="Times New Roman" w:eastAsia="宋体"/>
          <w:sz w:val="20"/>
          <w:szCs w:val="20"/>
        </w:rPr>
        <w:t>We prefer to support this feature especially in blockage scenario. That</w:t>
      </w:r>
      <w:r>
        <w:rPr>
          <w:rFonts w:ascii="Times New Roman" w:hAnsi="Times New Roman" w:eastAsia="宋体"/>
          <w:sz w:val="20"/>
          <w:szCs w:val="20"/>
        </w:rPr>
        <w:t>’</w:t>
      </w:r>
      <w:r>
        <w:rPr>
          <w:rFonts w:hint="eastAsia" w:ascii="Times New Roman" w:hAnsi="Times New Roman" w:eastAsia="宋体"/>
          <w:sz w:val="20"/>
          <w:szCs w:val="20"/>
        </w:rPr>
        <w:t xml:space="preserve">s because not only PDSCH but also PDCCH may be blocked. However, so far, all agreed URLLC repetition </w:t>
      </w:r>
      <w:r>
        <w:rPr>
          <w:rFonts w:ascii="Times New Roman" w:hAnsi="Times New Roman" w:eastAsia="宋体"/>
          <w:sz w:val="20"/>
          <w:szCs w:val="20"/>
        </w:rPr>
        <w:t>schemes</w:t>
      </w:r>
      <w:r>
        <w:rPr>
          <w:rFonts w:hint="eastAsia" w:ascii="Times New Roman" w:hAnsi="Times New Roman" w:eastAsia="宋体"/>
          <w:sz w:val="20"/>
          <w:szCs w:val="20"/>
        </w:rPr>
        <w:t xml:space="preserve"> are based on single DCI design. Although beam diversity gain for PDSCH can be achieved to resist blockage, PDCCH is transmitted only from one TRP. Once PDCCH is blocked, the PDSCH repetitions are wasted. </w:t>
      </w:r>
    </w:p>
    <w:p>
      <w:pPr>
        <w:snapToGrid w:val="0"/>
        <w:spacing w:before="180" w:beforeLines="50" w:after="180" w:afterLines="50" w:line="240" w:lineRule="auto"/>
        <w:jc w:val="both"/>
        <w:rPr>
          <w:rFonts w:ascii="Times New Roman" w:hAnsi="Times New Roman" w:eastAsia="宋体"/>
          <w:b/>
          <w:bCs/>
          <w:i/>
          <w:iCs/>
          <w:sz w:val="20"/>
          <w:szCs w:val="20"/>
        </w:rPr>
      </w:pPr>
      <w:r>
        <w:rPr>
          <w:rFonts w:hint="eastAsia" w:ascii="Times New Roman" w:hAnsi="Times New Roman" w:eastAsia="宋体"/>
          <w:b/>
          <w:bCs/>
          <w:i/>
          <w:iCs/>
          <w:sz w:val="20"/>
          <w:szCs w:val="20"/>
        </w:rPr>
        <w:t>Proposal 1</w:t>
      </w:r>
      <w:r>
        <w:rPr>
          <w:rFonts w:hint="eastAsia" w:ascii="Times New Roman" w:hAnsi="Times New Roman" w:eastAsia="宋体"/>
          <w:b/>
          <w:bCs/>
          <w:i/>
          <w:iCs/>
          <w:sz w:val="20"/>
          <w:szCs w:val="20"/>
          <w:lang w:val="en-US" w:eastAsia="zh-CN"/>
        </w:rPr>
        <w:t>4</w:t>
      </w:r>
      <w:r>
        <w:rPr>
          <w:rFonts w:hint="eastAsia" w:ascii="Times New Roman" w:hAnsi="Times New Roman" w:eastAsia="宋体"/>
          <w:b/>
          <w:bCs/>
          <w:i/>
          <w:iCs/>
          <w:sz w:val="20"/>
          <w:szCs w:val="20"/>
        </w:rPr>
        <w:t xml:space="preserve">: Support multi-DCI based PDSCH repetition. </w:t>
      </w:r>
    </w:p>
    <w:p>
      <w:pPr>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i/>
          <w:iCs/>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multiple TRP/panel transmission</w:t>
      </w:r>
      <w:r>
        <w:rPr>
          <w:rFonts w:hint="eastAsia"/>
          <w:i/>
          <w:iCs/>
        </w:rPr>
        <w:t xml:space="preserve">. </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single PDCCH design and URLLC:</w:t>
      </w:r>
    </w:p>
    <w:p>
      <w:pPr>
        <w:snapToGrid w:val="0"/>
        <w:rPr>
          <w:rFonts w:ascii="Times New Roman" w:hAnsi="Times New Roman"/>
          <w:i/>
          <w:iCs/>
          <w:sz w:val="20"/>
          <w:szCs w:val="20"/>
        </w:rPr>
      </w:pPr>
      <w:r>
        <w:rPr>
          <w:rFonts w:hint="eastAsia" w:ascii="Times New Roman" w:hAnsi="Times New Roman"/>
          <w:i/>
          <w:iCs/>
          <w:sz w:val="20"/>
          <w:szCs w:val="20"/>
        </w:rPr>
        <w:t xml:space="preserve">Proposal </w:t>
      </w:r>
      <w:r>
        <w:rPr>
          <w:rFonts w:hint="eastAsia" w:ascii="Times New Roman" w:hAnsi="Times New Roman"/>
          <w:i/>
          <w:iCs/>
          <w:sz w:val="20"/>
          <w:szCs w:val="20"/>
          <w:lang w:val="en-US" w:eastAsia="zh-CN"/>
        </w:rPr>
        <w:t>1</w:t>
      </w:r>
      <w:r>
        <w:rPr>
          <w:rFonts w:hint="eastAsia" w:ascii="Times New Roman" w:hAnsi="Times New Roman"/>
          <w:i/>
          <w:iCs/>
          <w:sz w:val="20"/>
          <w:szCs w:val="20"/>
        </w:rPr>
        <w:t xml:space="preserve">: For URLLC scheme 3, support RV sequences (0,3), (2, 1), (3,0) and (1,2). </w:t>
      </w:r>
    </w:p>
    <w:p>
      <w:pPr>
        <w:snapToGrid w:val="0"/>
        <w:spacing w:before="180" w:beforeLines="50" w:after="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2</w:t>
      </w:r>
      <w:r>
        <w:rPr>
          <w:rFonts w:hint="eastAsia" w:ascii="Times New Roman" w:hAnsi="Times New Roman" w:eastAsia="宋体"/>
          <w:i/>
          <w:iCs/>
          <w:sz w:val="20"/>
          <w:szCs w:val="20"/>
        </w:rPr>
        <w:t>: A new RRC parameter is introduced to enable all schemes of 2a, 2b and 3. And dynamic switching among scheme 1a, 2a, 2b and 3 is supported.</w:t>
      </w:r>
    </w:p>
    <w:p>
      <w:pPr>
        <w:pStyle w:val="90"/>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 xml:space="preserve">If one TCI state is indicated by TCI codepoint, it is single TRP transmission and Rel-15 DMRS table is used. </w:t>
      </w:r>
    </w:p>
    <w:p>
      <w:pPr>
        <w:pStyle w:val="90"/>
        <w:numPr>
          <w:ilvl w:val="0"/>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If two TCI states are indicated by TCI codepoint, it is multi-TRP/panel transmission and a new DMRS table is used.</w:t>
      </w:r>
    </w:p>
    <w:p>
      <w:pPr>
        <w:pStyle w:val="90"/>
        <w:numPr>
          <w:ilvl w:val="1"/>
          <w:numId w:val="4"/>
        </w:numPr>
        <w:snapToGrid w:val="0"/>
        <w:spacing w:after="0" w:line="240" w:lineRule="auto"/>
        <w:ind w:leftChars="0"/>
        <w:contextualSpacing/>
        <w:jc w:val="both"/>
        <w:rPr>
          <w:rFonts w:ascii="Times New Roman" w:hAnsi="Times New Roman" w:eastAsia="宋体"/>
          <w:i/>
          <w:iCs/>
          <w:sz w:val="20"/>
          <w:szCs w:val="20"/>
        </w:rPr>
      </w:pPr>
      <w:r>
        <w:rPr>
          <w:rFonts w:hint="eastAsia" w:ascii="Times New Roman" w:hAnsi="Times New Roman" w:eastAsia="宋体"/>
          <w:i/>
          <w:iCs/>
          <w:sz w:val="20"/>
          <w:szCs w:val="20"/>
        </w:rPr>
        <w:t>Different entry sets in the new DMRS table can represent scheme 1a, 2a, 2b and 3.</w:t>
      </w:r>
    </w:p>
    <w:p>
      <w:pPr>
        <w:snapToGrid w:val="0"/>
        <w:spacing w:before="180" w:beforeLines="50" w:line="240" w:lineRule="auto"/>
        <w:rPr>
          <w:rFonts w:ascii="Times New Roman" w:hAnsi="Times New Roman"/>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3</w:t>
      </w:r>
      <w:r>
        <w:rPr>
          <w:rFonts w:hint="eastAsia" w:ascii="Times New Roman" w:hAnsi="Times New Roman" w:eastAsia="宋体"/>
          <w:i/>
          <w:iCs/>
          <w:sz w:val="20"/>
          <w:szCs w:val="20"/>
        </w:rPr>
        <w:t xml:space="preserve">: </w:t>
      </w:r>
      <w:r>
        <w:rPr>
          <w:rFonts w:ascii="Times New Roman" w:hAnsi="Times New Roman"/>
          <w:i/>
          <w:iCs/>
          <w:sz w:val="20"/>
          <w:szCs w:val="20"/>
        </w:rPr>
        <w:t xml:space="preserve">Support two PTRS ports </w:t>
      </w:r>
      <w:r>
        <w:rPr>
          <w:rFonts w:hint="eastAsia" w:ascii="Times New Roman" w:hAnsi="Times New Roman"/>
          <w:i/>
          <w:iCs/>
          <w:sz w:val="20"/>
          <w:szCs w:val="20"/>
        </w:rPr>
        <w:t>for scheme 2a and 2b</w:t>
      </w:r>
      <w:r>
        <w:rPr>
          <w:rFonts w:ascii="Times New Roman" w:hAnsi="Times New Roman"/>
          <w:i/>
          <w:iCs/>
          <w:sz w:val="20"/>
          <w:szCs w:val="20"/>
        </w:rPr>
        <w:t xml:space="preserve"> if two TCI states are indicated by one TCI code point</w:t>
      </w:r>
      <w:r>
        <w:rPr>
          <w:rFonts w:hint="eastAsia" w:ascii="Times New Roman" w:hAnsi="Times New Roman"/>
          <w:i/>
          <w:iCs/>
          <w:sz w:val="20"/>
          <w:szCs w:val="20"/>
        </w:rPr>
        <w:t>.</w:t>
      </w:r>
    </w:p>
    <w:p>
      <w:pPr>
        <w:numPr>
          <w:ilvl w:val="0"/>
          <w:numId w:val="6"/>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Th</w:t>
      </w:r>
      <w:r>
        <w:rPr>
          <w:rFonts w:hint="eastAsia" w:ascii="Times New Roman" w:hAnsi="Times New Roman"/>
          <w:i/>
          <w:iCs/>
          <w:sz w:val="20"/>
          <w:szCs w:val="20"/>
        </w:rPr>
        <w:t>e frequency density of PTRS port 0 is determined by the scheduled PRBs associated with the first TCI state.</w:t>
      </w:r>
    </w:p>
    <w:p>
      <w:pPr>
        <w:numPr>
          <w:ilvl w:val="0"/>
          <w:numId w:val="6"/>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Th</w:t>
      </w:r>
      <w:r>
        <w:rPr>
          <w:rFonts w:hint="eastAsia" w:ascii="Times New Roman" w:hAnsi="Times New Roman"/>
          <w:i/>
          <w:iCs/>
          <w:sz w:val="20"/>
          <w:szCs w:val="20"/>
        </w:rPr>
        <w:t>e frequency density of PTRS port 1 is determined by the scheduled PRBs associated with the second TCI state.</w:t>
      </w:r>
    </w:p>
    <w:p>
      <w:pPr>
        <w:pStyle w:val="94"/>
        <w:snapToGrid w:val="0"/>
        <w:spacing w:before="180" w:beforeLines="50" w:after="0" w:line="240" w:lineRule="auto"/>
        <w:ind w:left="0" w:leftChars="0"/>
        <w:contextualSpacing/>
        <w:jc w:val="both"/>
        <w:rPr>
          <w:rFonts w:ascii="Times New Roman" w:hAnsi="Times New Roman" w:eastAsia="宋体"/>
          <w:i/>
          <w:iCs/>
          <w:sz w:val="20"/>
          <w:szCs w:val="20"/>
        </w:rPr>
      </w:pPr>
      <w:r>
        <w:rPr>
          <w:rFonts w:hint="eastAsia" w:ascii="Times New Roman" w:hAnsi="Times New Roman"/>
          <w:i/>
          <w:iCs/>
          <w:sz w:val="20"/>
          <w:szCs w:val="20"/>
        </w:rPr>
        <w:t xml:space="preserve">Proposal </w:t>
      </w:r>
      <w:r>
        <w:rPr>
          <w:rFonts w:hint="eastAsia" w:ascii="Times New Roman" w:hAnsi="Times New Roman"/>
          <w:i/>
          <w:iCs/>
          <w:sz w:val="20"/>
          <w:szCs w:val="20"/>
          <w:lang w:val="en-US" w:eastAsia="zh-CN"/>
        </w:rPr>
        <w:t>4</w:t>
      </w:r>
      <w:r>
        <w:rPr>
          <w:rFonts w:hint="eastAsia" w:ascii="Times New Roman" w:hAnsi="Times New Roman"/>
          <w:i/>
          <w:iCs/>
          <w:sz w:val="20"/>
          <w:szCs w:val="20"/>
        </w:rPr>
        <w:t xml:space="preserve">: For single PDCCH design, </w:t>
      </w:r>
      <w:r>
        <w:rPr>
          <w:rFonts w:hint="eastAsia" w:ascii="Times New Roman" w:hAnsi="Times New Roman" w:eastAsia="宋体"/>
          <w:i/>
          <w:iCs/>
          <w:sz w:val="20"/>
          <w:szCs w:val="20"/>
        </w:rPr>
        <w:t>if the offset between the reception of the DL DCI and the corresponding PDSCH is less than the threshold timeDurationForQCL, the default QCL assumption of PDSCH should be enhanced.</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ascii="Times New Roman" w:hAnsi="Times New Roman"/>
          <w:i/>
          <w:iCs/>
          <w:sz w:val="20"/>
          <w:szCs w:val="20"/>
        </w:rPr>
        <w:t>Support two default TCI states which</w:t>
      </w:r>
      <w:r>
        <w:rPr>
          <w:rFonts w:hint="eastAsia" w:ascii="Times New Roman" w:hAnsi="Times New Roman"/>
          <w:i/>
          <w:iCs/>
          <w:sz w:val="20"/>
          <w:szCs w:val="20"/>
        </w:rPr>
        <w:t xml:space="preserve"> are</w:t>
      </w:r>
      <w:r>
        <w:rPr>
          <w:rFonts w:ascii="Times New Roman" w:hAnsi="Times New Roman"/>
          <w:i/>
          <w:iCs/>
          <w:sz w:val="20"/>
          <w:szCs w:val="20"/>
        </w:rPr>
        <w:t xml:space="preserve"> used for the two DMRS groups of PDSCH respectively if the offset between the DL DCI and the PDSCH is less than the threshold. </w:t>
      </w:r>
    </w:p>
    <w:p>
      <w:pPr>
        <w:snapToGrid w:val="0"/>
        <w:spacing w:after="0" w:line="240" w:lineRule="auto"/>
        <w:jc w:val="both"/>
        <w:rPr>
          <w:rFonts w:ascii="Times New Roman" w:hAnsi="Times New Roman" w:eastAsia="宋体"/>
          <w:b/>
          <w:bCs/>
          <w:i/>
          <w:iCs/>
          <w:sz w:val="20"/>
          <w:szCs w:val="20"/>
        </w:rPr>
      </w:pPr>
    </w:p>
    <w:p>
      <w:pPr>
        <w:snapToGrid w:val="0"/>
        <w:spacing w:after="0" w:line="240" w:lineRule="auto"/>
        <w:jc w:val="both"/>
        <w:rPr>
          <w:rFonts w:ascii="Times New Roman" w:hAnsi="Times New Roman" w:eastAsia="宋体"/>
          <w:b/>
          <w:bCs/>
          <w:i/>
          <w:iCs/>
          <w:sz w:val="20"/>
          <w:szCs w:val="20"/>
        </w:rPr>
      </w:pP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multiple PDCCH design: </w:t>
      </w:r>
    </w:p>
    <w:p>
      <w:pPr>
        <w:snapToGrid w:val="0"/>
        <w:spacing w:after="0" w:line="240" w:lineRule="auto"/>
        <w:jc w:val="both"/>
        <w:rPr>
          <w:rFonts w:ascii="Times New Roman" w:hAnsi="Times New Roman" w:eastAsia="宋体"/>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5</w:t>
      </w:r>
      <w:r>
        <w:rPr>
          <w:rFonts w:hint="eastAsia" w:ascii="Times New Roman" w:hAnsi="Times New Roman" w:eastAsia="宋体"/>
          <w:i/>
          <w:iCs/>
          <w:sz w:val="20"/>
          <w:szCs w:val="20"/>
        </w:rPr>
        <w:t xml:space="preserve">: One of following options should be adopted to determine if a DL serving cell is configured with multi-DCI based multi-TRP transmission </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 xml:space="preserve">Alt. 1: if the active BWP </w:t>
      </w:r>
      <w:r>
        <w:rPr>
          <w:rFonts w:ascii="Times New Roman" w:hAnsi="Times New Roman"/>
          <w:i/>
          <w:iCs/>
          <w:sz w:val="20"/>
          <w:szCs w:val="20"/>
        </w:rPr>
        <w:t>in the serving cell is configured with two different higher layer indices in the configured CORESETs, the serving cell should be assumed as a DL serving cell with multi-DCI based multi-TRP</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Alt. 2: if the active</w:t>
      </w:r>
      <w:r>
        <w:rPr>
          <w:rFonts w:ascii="Times New Roman" w:hAnsi="Times New Roman"/>
          <w:i/>
          <w:iCs/>
          <w:sz w:val="20"/>
          <w:szCs w:val="20"/>
        </w:rPr>
        <w:t xml:space="preserve"> BWP in the serving cell contains two PDSCH scrambling IDs, it should be a DL serving cell with multi-DCI based multi-TR</w:t>
      </w:r>
      <w:r>
        <w:rPr>
          <w:rFonts w:hint="eastAsia" w:ascii="Times New Roman" w:hAnsi="Times New Roman"/>
          <w:i/>
          <w:iCs/>
          <w:sz w:val="20"/>
          <w:szCs w:val="20"/>
        </w:rPr>
        <w:t>P</w:t>
      </w:r>
    </w:p>
    <w:p>
      <w:pPr>
        <w:snapToGrid w:val="0"/>
        <w:spacing w:after="0" w:line="240" w:lineRule="auto"/>
        <w:jc w:val="both"/>
        <w:rPr>
          <w:rFonts w:ascii="Times New Roman" w:hAnsi="Times New Roman" w:eastAsia="宋体"/>
          <w:i/>
          <w:iCs/>
          <w:sz w:val="20"/>
          <w:szCs w:val="20"/>
        </w:rPr>
      </w:pPr>
    </w:p>
    <w:p>
      <w:pPr>
        <w:snapToGrid w:val="0"/>
        <w:spacing w:after="0" w:line="240" w:lineRule="auto"/>
        <w:jc w:val="both"/>
        <w:rPr>
          <w:rFonts w:ascii="Times New Roman" w:hAnsi="Times New Roman"/>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6</w:t>
      </w:r>
      <w:r>
        <w:rPr>
          <w:rFonts w:hint="eastAsia" w:ascii="Times New Roman" w:hAnsi="Times New Roman" w:eastAsia="宋体"/>
          <w:i/>
          <w:iCs/>
          <w:sz w:val="20"/>
          <w:szCs w:val="20"/>
        </w:rPr>
        <w:t xml:space="preserve">: A UE dedicated </w:t>
      </w:r>
      <w:r>
        <w:rPr>
          <w:rFonts w:hint="eastAsia" w:ascii="Times New Roman" w:hAnsi="Times New Roman"/>
          <w:i/>
          <w:iCs/>
          <w:sz w:val="20"/>
          <w:szCs w:val="20"/>
        </w:rPr>
        <w:t>SS with lower index is prioritized.</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 xml:space="preserve">If an SS causes BD/CCE overflow of the corresponding TRP, UE will skip this SS, </w:t>
      </w:r>
    </w:p>
    <w:p>
      <w:pPr>
        <w:pStyle w:val="94"/>
        <w:numPr>
          <w:ilvl w:val="0"/>
          <w:numId w:val="7"/>
        </w:numPr>
        <w:snapToGrid w:val="0"/>
        <w:spacing w:after="0" w:line="240" w:lineRule="auto"/>
        <w:ind w:left="840" w:leftChars="0"/>
        <w:contextualSpacing/>
        <w:jc w:val="both"/>
        <w:rPr>
          <w:rFonts w:ascii="Times New Roman" w:hAnsi="Times New Roman"/>
          <w:i/>
          <w:iCs/>
          <w:sz w:val="20"/>
          <w:szCs w:val="20"/>
        </w:rPr>
      </w:pPr>
      <w:r>
        <w:rPr>
          <w:rFonts w:hint="eastAsia" w:ascii="Times New Roman" w:hAnsi="Times New Roman"/>
          <w:i/>
          <w:iCs/>
          <w:sz w:val="20"/>
          <w:szCs w:val="20"/>
        </w:rPr>
        <w:t>If an SS causes BD/CCE overflow of the serving cell, UE will not detect this SS and the remaining SSs with higher SS index</w:t>
      </w:r>
    </w:p>
    <w:p>
      <w:pPr>
        <w:pStyle w:val="94"/>
        <w:snapToGrid w:val="0"/>
        <w:spacing w:after="0" w:line="240" w:lineRule="auto"/>
        <w:ind w:left="0" w:leftChars="0"/>
        <w:contextualSpacing/>
        <w:jc w:val="both"/>
        <w:rPr>
          <w:rFonts w:ascii="Times New Roman" w:hAnsi="Times New Roman" w:eastAsia="宋体"/>
          <w:i/>
          <w:iCs/>
          <w:sz w:val="20"/>
          <w:szCs w:val="20"/>
        </w:rPr>
      </w:pP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7</w:t>
      </w:r>
      <w:r>
        <w:rPr>
          <w:rFonts w:hint="eastAsia" w:ascii="Times New Roman" w:hAnsi="Times New Roman" w:eastAsia="宋体"/>
          <w:i/>
          <w:iCs/>
          <w:sz w:val="20"/>
          <w:szCs w:val="20"/>
        </w:rPr>
        <w:t xml:space="preserve">: For joint ACK/NACK bits multiplexing, </w:t>
      </w:r>
      <w:r>
        <w:rPr>
          <w:rFonts w:ascii="Times New Roman" w:hAnsi="Times New Roman" w:eastAsia="宋体"/>
          <w:i/>
          <w:iCs/>
          <w:sz w:val="20"/>
          <w:szCs w:val="20"/>
        </w:rPr>
        <w:t xml:space="preserve">counter </w:t>
      </w:r>
      <w:r>
        <w:rPr>
          <w:rFonts w:ascii="Times New Roman" w:hAnsi="Times New Roman" w:eastAsia="宋体"/>
          <w:i/>
          <w:iCs/>
          <w:sz w:val="20"/>
          <w:szCs w:val="20"/>
          <w:lang w:eastAsia="ko-KR"/>
        </w:rPr>
        <w:t>DAI is counted per TRP</w:t>
      </w:r>
      <w:r>
        <w:rPr>
          <w:rFonts w:hint="eastAsia" w:ascii="Times New Roman" w:hAnsi="Times New Roman" w:eastAsia="宋体"/>
          <w:i/>
          <w:iCs/>
          <w:sz w:val="20"/>
          <w:szCs w:val="20"/>
        </w:rPr>
        <w:t>.</w:t>
      </w:r>
      <w:r>
        <w:rPr>
          <w:rFonts w:ascii="Times New Roman" w:hAnsi="Times New Roman"/>
          <w:i/>
          <w:iCs/>
          <w:sz w:val="20"/>
          <w:szCs w:val="20"/>
        </w:rPr>
        <w:t xml:space="preserve"> </w:t>
      </w:r>
    </w:p>
    <w:p>
      <w:pPr>
        <w:pStyle w:val="94"/>
        <w:snapToGrid w:val="0"/>
        <w:spacing w:before="180" w:beforeLines="50" w:after="180" w:afterLines="50" w:line="240" w:lineRule="auto"/>
        <w:ind w:left="0" w:leftChars="0"/>
        <w:contextualSpacing/>
        <w:jc w:val="both"/>
        <w:rPr>
          <w:rFonts w:ascii="Times New Roman" w:hAnsi="Times New Roman"/>
          <w:i/>
          <w:iCs/>
          <w:sz w:val="20"/>
          <w:szCs w:val="20"/>
        </w:rPr>
      </w:pPr>
    </w:p>
    <w:p>
      <w:pPr>
        <w:pStyle w:val="94"/>
        <w:snapToGrid w:val="0"/>
        <w:spacing w:before="180" w:beforeLines="50" w:after="180" w:afterLines="50" w:line="240" w:lineRule="auto"/>
        <w:ind w:left="0" w:leftChars="0"/>
        <w:contextualSpacing/>
        <w:jc w:val="both"/>
        <w:rPr>
          <w:rFonts w:ascii="Times New Roman" w:hAnsi="Times New Roman"/>
          <w:sz w:val="20"/>
          <w:szCs w:val="20"/>
        </w:rPr>
      </w:pPr>
      <w:r>
        <w:rPr>
          <w:rFonts w:hint="eastAsia" w:ascii="Times New Roman" w:hAnsi="Times New Roman"/>
          <w:i/>
          <w:iCs/>
          <w:sz w:val="20"/>
          <w:szCs w:val="20"/>
        </w:rPr>
        <w:t xml:space="preserve">Proposal </w:t>
      </w:r>
      <w:r>
        <w:rPr>
          <w:rFonts w:hint="eastAsia" w:ascii="Times New Roman" w:hAnsi="Times New Roman"/>
          <w:i/>
          <w:iCs/>
          <w:sz w:val="20"/>
          <w:szCs w:val="20"/>
          <w:lang w:val="en-US" w:eastAsia="zh-CN"/>
        </w:rPr>
        <w:t>8</w:t>
      </w:r>
      <w:r>
        <w:rPr>
          <w:rFonts w:hint="eastAsia" w:ascii="Times New Roman" w:hAnsi="Times New Roman"/>
          <w:i/>
          <w:iCs/>
          <w:sz w:val="20"/>
          <w:szCs w:val="20"/>
        </w:rPr>
        <w:t>: Close loop power control should be separate for the two TRPs.</w:t>
      </w:r>
      <w:r>
        <w:rPr>
          <w:rFonts w:hint="eastAsia" w:ascii="Times New Roman" w:hAnsi="Times New Roman"/>
          <w:sz w:val="20"/>
          <w:szCs w:val="20"/>
        </w:rPr>
        <w:t xml:space="preserve"> </w:t>
      </w:r>
    </w:p>
    <w:p>
      <w:pPr>
        <w:pStyle w:val="94"/>
        <w:snapToGrid w:val="0"/>
        <w:spacing w:after="0" w:line="240" w:lineRule="auto"/>
        <w:ind w:left="0" w:leftChars="0"/>
        <w:contextualSpacing/>
        <w:jc w:val="both"/>
        <w:rPr>
          <w:rFonts w:ascii="Times New Roman" w:hAnsi="Times New Roman" w:eastAsia="宋体"/>
          <w:i/>
          <w:iCs/>
          <w:sz w:val="20"/>
          <w:szCs w:val="20"/>
        </w:rPr>
      </w:pPr>
    </w:p>
    <w:p>
      <w:pPr>
        <w:pStyle w:val="94"/>
        <w:snapToGrid w:val="0"/>
        <w:spacing w:after="0" w:line="240" w:lineRule="auto"/>
        <w:ind w:left="0" w:leftChars="0"/>
        <w:contextualSpacing/>
        <w:jc w:val="both"/>
        <w:rPr>
          <w:rFonts w:ascii="Times New Roman" w:hAnsi="Times New Roman"/>
          <w:i/>
          <w:iCs/>
          <w:sz w:val="20"/>
          <w:szCs w:val="20"/>
        </w:rPr>
      </w:pPr>
      <w:r>
        <w:rPr>
          <w:rFonts w:hint="eastAsia" w:ascii="Times New Roman" w:hAnsi="Times New Roman" w:eastAsia="宋体"/>
          <w:i/>
          <w:iCs/>
          <w:sz w:val="20"/>
          <w:szCs w:val="20"/>
        </w:rPr>
        <w:t xml:space="preserve">Proposal </w:t>
      </w:r>
      <w:r>
        <w:rPr>
          <w:rFonts w:hint="eastAsia" w:ascii="Times New Roman" w:hAnsi="Times New Roman" w:eastAsia="宋体"/>
          <w:i/>
          <w:iCs/>
          <w:sz w:val="20"/>
          <w:szCs w:val="20"/>
          <w:lang w:val="en-US" w:eastAsia="zh-CN"/>
        </w:rPr>
        <w:t>9</w:t>
      </w:r>
      <w:r>
        <w:rPr>
          <w:rFonts w:hint="eastAsia" w:ascii="Times New Roman" w:hAnsi="Times New Roman" w:eastAsia="宋体"/>
          <w:i/>
          <w:iCs/>
          <w:sz w:val="20"/>
          <w:szCs w:val="20"/>
        </w:rPr>
        <w:t xml:space="preserve">: </w:t>
      </w:r>
      <w:r>
        <w:rPr>
          <w:rFonts w:ascii="Times New Roman" w:hAnsi="Times New Roman"/>
          <w:i/>
          <w:iCs/>
          <w:sz w:val="20"/>
          <w:szCs w:val="20"/>
        </w:rPr>
        <w:t xml:space="preserve">Support </w:t>
      </w:r>
      <w:r>
        <w:rPr>
          <w:rFonts w:hint="eastAsia" w:ascii="Times New Roman" w:hAnsi="Times New Roman"/>
          <w:i/>
          <w:iCs/>
          <w:sz w:val="20"/>
          <w:szCs w:val="20"/>
        </w:rPr>
        <w:t xml:space="preserve">a new RRC signaling to </w:t>
      </w:r>
      <w:r>
        <w:rPr>
          <w:rFonts w:ascii="Times New Roman" w:hAnsi="Times New Roman"/>
          <w:i/>
          <w:iCs/>
          <w:sz w:val="20"/>
          <w:szCs w:val="20"/>
        </w:rPr>
        <w:t>explicit</w:t>
      </w:r>
      <w:r>
        <w:rPr>
          <w:rFonts w:hint="eastAsia" w:ascii="Times New Roman" w:hAnsi="Times New Roman"/>
          <w:i/>
          <w:iCs/>
          <w:sz w:val="20"/>
          <w:szCs w:val="20"/>
        </w:rPr>
        <w:t xml:space="preserve">ly configure </w:t>
      </w:r>
      <w:r>
        <w:rPr>
          <w:rFonts w:ascii="Times New Roman" w:hAnsi="Times New Roman"/>
          <w:i/>
          <w:iCs/>
          <w:sz w:val="20"/>
          <w:szCs w:val="20"/>
        </w:rPr>
        <w:t>PUCCH resource grouping</w:t>
      </w:r>
      <w:r>
        <w:rPr>
          <w:rFonts w:hint="eastAsia" w:ascii="Times New Roman" w:hAnsi="Times New Roman"/>
          <w:i/>
          <w:iCs/>
          <w:sz w:val="20"/>
          <w:szCs w:val="20"/>
        </w:rPr>
        <w:t>.</w:t>
      </w:r>
      <w:r>
        <w:rPr>
          <w:rFonts w:ascii="Times New Roman" w:hAnsi="Times New Roman"/>
          <w:i/>
          <w:iCs/>
          <w:sz w:val="20"/>
          <w:szCs w:val="20"/>
        </w:rPr>
        <w:t xml:space="preserve"> </w:t>
      </w:r>
    </w:p>
    <w:p>
      <w:pPr>
        <w:snapToGrid w:val="0"/>
        <w:spacing w:after="0" w:line="240" w:lineRule="auto"/>
        <w:jc w:val="both"/>
        <w:rPr>
          <w:rFonts w:ascii="Times New Roman" w:hAnsi="Times New Roman" w:eastAsia="宋体"/>
          <w:i/>
          <w:iCs/>
          <w:sz w:val="20"/>
          <w:szCs w:val="20"/>
        </w:rPr>
      </w:pPr>
    </w:p>
    <w:p>
      <w:pPr>
        <w:snapToGrid w:val="0"/>
        <w:spacing w:after="0" w:line="240" w:lineRule="auto"/>
        <w:jc w:val="both"/>
        <w:rPr>
          <w:rFonts w:ascii="Times New Roman" w:hAnsi="Times New Roman" w:eastAsia="宋体"/>
          <w:sz w:val="20"/>
          <w:szCs w:val="20"/>
        </w:rPr>
      </w:pPr>
      <w:r>
        <w:rPr>
          <w:rFonts w:hint="eastAsia" w:ascii="Times New Roman" w:hAnsi="Times New Roman" w:eastAsia="宋体"/>
          <w:i/>
          <w:iCs/>
          <w:sz w:val="20"/>
          <w:szCs w:val="20"/>
        </w:rPr>
        <w:t>Proposal 1</w:t>
      </w:r>
      <w:r>
        <w:rPr>
          <w:rFonts w:hint="eastAsia" w:ascii="Times New Roman" w:hAnsi="Times New Roman" w:eastAsia="宋体"/>
          <w:i/>
          <w:iCs/>
          <w:sz w:val="20"/>
          <w:szCs w:val="20"/>
          <w:lang w:val="en-US" w:eastAsia="zh-CN"/>
        </w:rPr>
        <w:t>0</w:t>
      </w:r>
      <w:r>
        <w:rPr>
          <w:rFonts w:hint="eastAsia" w:ascii="Times New Roman" w:hAnsi="Times New Roman" w:eastAsia="宋体"/>
          <w:i/>
          <w:iCs/>
          <w:sz w:val="20"/>
          <w:szCs w:val="20"/>
        </w:rPr>
        <w:t>: Support associating one CRS pattern with two higher layer indices.</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eastAsia="宋体"/>
          <w:i/>
          <w:iCs/>
          <w:sz w:val="20"/>
          <w:szCs w:val="20"/>
        </w:rPr>
        <w:t>Proposal 1</w:t>
      </w:r>
      <w:r>
        <w:rPr>
          <w:rFonts w:hint="eastAsia" w:ascii="Times New Roman" w:hAnsi="Times New Roman" w:eastAsia="宋体"/>
          <w:i/>
          <w:iCs/>
          <w:sz w:val="20"/>
          <w:szCs w:val="20"/>
          <w:lang w:val="en-US" w:eastAsia="zh-CN"/>
        </w:rPr>
        <w:t>1</w:t>
      </w:r>
      <w:r>
        <w:rPr>
          <w:rFonts w:hint="eastAsia" w:ascii="Times New Roman" w:hAnsi="Times New Roman"/>
          <w:i/>
          <w:iCs/>
          <w:sz w:val="20"/>
          <w:szCs w:val="20"/>
        </w:rPr>
        <w:t>: The maximum number of MAC-CE activated TCI states should be increased to 16.</w:t>
      </w:r>
    </w:p>
    <w:p>
      <w:pPr>
        <w:pStyle w:val="94"/>
        <w:numPr>
          <w:ilvl w:val="0"/>
          <w:numId w:val="7"/>
        </w:numPr>
        <w:snapToGrid w:val="0"/>
        <w:spacing w:after="0" w:line="240" w:lineRule="auto"/>
        <w:ind w:left="726" w:leftChars="0" w:hanging="363"/>
        <w:contextualSpacing/>
        <w:jc w:val="both"/>
        <w:rPr>
          <w:rFonts w:ascii="Times New Roman" w:hAnsi="Times New Roman"/>
          <w:i/>
          <w:iCs/>
          <w:sz w:val="20"/>
          <w:szCs w:val="20"/>
        </w:rPr>
      </w:pPr>
      <w:r>
        <w:rPr>
          <w:rFonts w:hint="eastAsia" w:ascii="Times New Roman" w:hAnsi="Times New Roman"/>
          <w:i/>
          <w:iCs/>
          <w:sz w:val="20"/>
          <w:szCs w:val="20"/>
        </w:rPr>
        <w:t>Option 1:Support separate MAC-CE transmission to activate/deactivate maximum 8 TCI states for each TRP</w:t>
      </w:r>
    </w:p>
    <w:p>
      <w:pPr>
        <w:pStyle w:val="94"/>
        <w:numPr>
          <w:ilvl w:val="0"/>
          <w:numId w:val="7"/>
        </w:numPr>
        <w:snapToGrid w:val="0"/>
        <w:spacing w:after="0" w:line="240" w:lineRule="auto"/>
        <w:ind w:left="726" w:leftChars="0" w:hanging="363"/>
        <w:contextualSpacing/>
        <w:jc w:val="both"/>
        <w:rPr>
          <w:rFonts w:ascii="Times New Roman" w:hAnsi="Times New Roman"/>
          <w:i/>
          <w:iCs/>
          <w:sz w:val="20"/>
          <w:szCs w:val="20"/>
        </w:rPr>
      </w:pPr>
      <w:r>
        <w:rPr>
          <w:rFonts w:hint="eastAsia" w:ascii="Times New Roman" w:hAnsi="Times New Roman"/>
          <w:i/>
          <w:iCs/>
          <w:sz w:val="20"/>
          <w:szCs w:val="20"/>
        </w:rPr>
        <w:t>Option 2: One MAC-CE is used to activate maximum 16 TCI states for the two TRPs.</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i/>
          <w:iCs/>
          <w:sz w:val="20"/>
          <w:szCs w:val="20"/>
        </w:rPr>
        <w:t>Proposal 1</w:t>
      </w:r>
      <w:r>
        <w:rPr>
          <w:rFonts w:hint="eastAsia" w:ascii="Times New Roman" w:hAnsi="Times New Roman" w:eastAsia="宋体"/>
          <w:i/>
          <w:iCs/>
          <w:sz w:val="20"/>
          <w:szCs w:val="20"/>
          <w:lang w:val="en-US" w:eastAsia="zh-CN"/>
        </w:rPr>
        <w:t>2</w:t>
      </w:r>
      <w:r>
        <w:rPr>
          <w:rFonts w:hint="eastAsia" w:ascii="Times New Roman" w:hAnsi="Times New Roman" w:eastAsia="宋体"/>
          <w:i/>
          <w:iCs/>
          <w:sz w:val="20"/>
          <w:szCs w:val="20"/>
        </w:rPr>
        <w:t>: The QCL assumption of each PDSCH should be inferred from the lowest CORESET-ID within the CORESET group when the offset between the DL DCI and the PDSCH is less than the threshold</w:t>
      </w:r>
      <w:r>
        <w:rPr>
          <w:rFonts w:hint="eastAsia" w:ascii="Times New Roman" w:hAnsi="Times New Roman" w:eastAsia="宋体"/>
          <w:sz w:val="20"/>
          <w:szCs w:val="20"/>
        </w:rPr>
        <w:t>.</w:t>
      </w:r>
    </w:p>
    <w:p>
      <w:pPr>
        <w:numPr>
          <w:ilvl w:val="255"/>
          <w:numId w:val="0"/>
        </w:numPr>
        <w:snapToGrid w:val="0"/>
        <w:rPr>
          <w:rFonts w:ascii="Times New Roman" w:hAnsi="Times New Roman"/>
          <w:i/>
          <w:iCs/>
          <w:sz w:val="20"/>
          <w:szCs w:val="20"/>
        </w:rPr>
      </w:pPr>
      <w:r>
        <w:rPr>
          <w:rFonts w:hint="eastAsia" w:ascii="Times New Roman" w:hAnsi="Times New Roman"/>
          <w:i/>
          <w:iCs/>
          <w:sz w:val="20"/>
          <w:szCs w:val="20"/>
        </w:rPr>
        <w:t>Proposal 1</w:t>
      </w:r>
      <w:r>
        <w:rPr>
          <w:rFonts w:hint="eastAsia" w:ascii="Times New Roman" w:hAnsi="Times New Roman"/>
          <w:i/>
          <w:iCs/>
          <w:sz w:val="20"/>
          <w:szCs w:val="20"/>
          <w:lang w:val="en-US" w:eastAsia="zh-CN"/>
        </w:rPr>
        <w:t>3</w:t>
      </w:r>
      <w:r>
        <w:rPr>
          <w:rFonts w:hint="eastAsia" w:ascii="Times New Roman" w:hAnsi="Times New Roman"/>
          <w:i/>
          <w:iCs/>
          <w:sz w:val="20"/>
          <w:szCs w:val="20"/>
        </w:rPr>
        <w:t xml:space="preserve">: DMRS port 2 or 3 can be used if a PDSCH is scheduled by a DCI format 1_0 which is associated with higher layer index 1. </w:t>
      </w:r>
    </w:p>
    <w:p>
      <w:pPr>
        <w:snapToGrid w:val="0"/>
        <w:spacing w:before="180" w:beforeLines="50" w:after="180" w:afterLines="50" w:line="240" w:lineRule="auto"/>
        <w:jc w:val="both"/>
        <w:rPr>
          <w:i/>
          <w:iCs/>
        </w:rPr>
      </w:pPr>
      <w:r>
        <w:rPr>
          <w:rFonts w:hint="eastAsia" w:ascii="Times New Roman" w:hAnsi="Times New Roman" w:eastAsia="宋体"/>
          <w:i/>
          <w:iCs/>
          <w:sz w:val="20"/>
          <w:szCs w:val="20"/>
        </w:rPr>
        <w:t>Proposal 1</w:t>
      </w:r>
      <w:r>
        <w:rPr>
          <w:rFonts w:hint="eastAsia" w:ascii="Times New Roman" w:hAnsi="Times New Roman" w:eastAsia="宋体"/>
          <w:i/>
          <w:iCs/>
          <w:sz w:val="20"/>
          <w:szCs w:val="20"/>
          <w:lang w:val="en-US" w:eastAsia="zh-CN"/>
        </w:rPr>
        <w:t>4</w:t>
      </w:r>
      <w:r>
        <w:rPr>
          <w:rFonts w:hint="eastAsia" w:ascii="Times New Roman" w:hAnsi="Times New Roman" w:eastAsia="宋体"/>
          <w:i/>
          <w:iCs/>
          <w:sz w:val="20"/>
          <w:szCs w:val="20"/>
        </w:rPr>
        <w:t xml:space="preserve">: Support multi-DCI based PDSCH repetition. </w:t>
      </w:r>
    </w:p>
    <w:p>
      <w:pPr>
        <w:snapToGrid w:val="0"/>
        <w:spacing w:before="180" w:beforeLines="50" w:after="0" w:line="240" w:lineRule="auto"/>
        <w:jc w:val="both"/>
        <w:rPr>
          <w:rFonts w:ascii="Times New Roman" w:hAnsi="Times New Roman" w:eastAsia="宋体"/>
          <w:i/>
          <w:iCs/>
          <w:sz w:val="20"/>
          <w:szCs w:val="20"/>
        </w:rPr>
      </w:pPr>
    </w:p>
    <w:p>
      <w:pPr>
        <w:pStyle w:val="2"/>
        <w:snapToGrid w:val="0"/>
        <w:spacing w:before="180" w:beforeLines="50" w:after="180" w:afterLines="50"/>
        <w:ind w:left="431" w:hanging="431"/>
        <w:rPr>
          <w:sz w:val="28"/>
          <w:lang w:val="en-US"/>
        </w:rPr>
      </w:pPr>
      <w:r>
        <w:rPr>
          <w:sz w:val="28"/>
          <w:lang w:val="en-US"/>
        </w:rPr>
        <w:t>References</w:t>
      </w:r>
    </w:p>
    <w:bookmarkEnd w:id="7"/>
    <w:bookmarkEnd w:id="8"/>
    <w:p>
      <w:pPr>
        <w:pStyle w:val="88"/>
        <w:numPr>
          <w:ilvl w:val="0"/>
          <w:numId w:val="16"/>
        </w:numPr>
        <w:snapToGrid w:val="0"/>
        <w:rPr>
          <w:sz w:val="20"/>
          <w:szCs w:val="20"/>
          <w:lang w:val="en-GB"/>
        </w:rPr>
      </w:pPr>
      <w:r>
        <w:rPr>
          <w:rFonts w:hint="eastAsia"/>
          <w:sz w:val="20"/>
          <w:szCs w:val="20"/>
        </w:rPr>
        <w:t>Chairman notes of RAN1#98 meeting</w:t>
      </w:r>
    </w:p>
    <w:p>
      <w:pPr>
        <w:pStyle w:val="88"/>
        <w:numPr>
          <w:ilvl w:val="0"/>
          <w:numId w:val="16"/>
        </w:numPr>
        <w:snapToGrid w:val="0"/>
        <w:rPr>
          <w:sz w:val="20"/>
          <w:szCs w:val="20"/>
          <w:lang w:val="en-GB"/>
        </w:rPr>
      </w:pPr>
      <w:r>
        <w:rPr>
          <w:rFonts w:hint="eastAsia"/>
          <w:sz w:val="20"/>
          <w:szCs w:val="20"/>
        </w:rPr>
        <w:t>R1-1910284, Enhancements on Multi-TRP and Multi-panel Transmission,  ZTE</w:t>
      </w:r>
    </w:p>
    <w:p>
      <w:pPr>
        <w:pStyle w:val="2"/>
        <w:snapToGrid w:val="0"/>
        <w:spacing w:before="180" w:beforeLines="50" w:after="180" w:afterLines="50"/>
        <w:ind w:left="431" w:hanging="431"/>
        <w:rPr>
          <w:sz w:val="28"/>
          <w:highlight w:val="none"/>
          <w:lang w:val="en-US"/>
        </w:rPr>
      </w:pPr>
      <w:r>
        <w:rPr>
          <w:rFonts w:hint="eastAsia"/>
          <w:sz w:val="28"/>
          <w:highlight w:val="none"/>
          <w:lang w:val="en-US"/>
        </w:rPr>
        <w:t>Appendix</w:t>
      </w:r>
    </w:p>
    <w:p>
      <w:pPr>
        <w:widowControl w:val="0"/>
        <w:snapToGrid w:val="0"/>
        <w:spacing w:before="180" w:beforeLines="50" w:after="180" w:afterLines="50" w:line="240" w:lineRule="auto"/>
        <w:jc w:val="center"/>
        <w:rPr>
          <w:rFonts w:ascii="Times New Roman" w:hAnsi="Times New Roman" w:eastAsia="宋体"/>
          <w:sz w:val="20"/>
          <w:szCs w:val="20"/>
          <w:highlight w:val="none"/>
        </w:rPr>
      </w:pPr>
      <w:r>
        <w:rPr>
          <w:rFonts w:hint="eastAsia" w:ascii="Times New Roman" w:hAnsi="Times New Roman" w:eastAsia="宋体"/>
          <w:sz w:val="20"/>
          <w:szCs w:val="20"/>
          <w:highlight w:val="none"/>
        </w:rPr>
        <w:t>Table 5-1 LLS assumptions for</w:t>
      </w:r>
      <w:r>
        <w:rPr>
          <w:rFonts w:ascii="Times New Roman" w:hAnsi="Times New Roman" w:eastAsia="宋体"/>
          <w:sz w:val="20"/>
          <w:szCs w:val="20"/>
          <w:highlight w:val="none"/>
          <w:lang w:val="en-GB" w:eastAsia="ko-KR"/>
        </w:rPr>
        <w:t xml:space="preserve"> multi-TRP</w:t>
      </w:r>
      <w:r>
        <w:rPr>
          <w:rFonts w:hint="eastAsia" w:ascii="Times New Roman" w:hAnsi="Times New Roman" w:eastAsia="宋体"/>
          <w:sz w:val="20"/>
          <w:szCs w:val="20"/>
          <w:highlight w:val="none"/>
        </w:rPr>
        <w:t xml:space="preserve"> performance evaluation</w:t>
      </w:r>
    </w:p>
    <w:tbl>
      <w:tblPr>
        <w:tblStyle w:val="33"/>
        <w:tblW w:w="8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48"/>
        <w:gridCol w:w="5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1" w:hRule="atLeast"/>
          <w:jc w:val="center"/>
        </w:trPr>
        <w:tc>
          <w:tcPr>
            <w:tcW w:w="3048" w:type="dxa"/>
            <w:shd w:val="clear" w:color="auto" w:fill="D9E2F3"/>
            <w:tcMar>
              <w:top w:w="0" w:type="dxa"/>
              <w:left w:w="108" w:type="dxa"/>
              <w:bottom w:w="0" w:type="dxa"/>
              <w:right w:w="108" w:type="dxa"/>
            </w:tcMar>
            <w:vAlign w:val="center"/>
          </w:tcPr>
          <w:p>
            <w:pPr>
              <w:pStyle w:val="61"/>
              <w:snapToGrid w:val="0"/>
              <w:rPr>
                <w:rFonts w:ascii="Times New Roman" w:hAnsi="Times New Roman"/>
                <w:bCs/>
                <w:sz w:val="20"/>
                <w:highlight w:val="none"/>
              </w:rPr>
            </w:pPr>
            <w:r>
              <w:rPr>
                <w:rFonts w:ascii="Times New Roman" w:hAnsi="Times New Roman"/>
                <w:sz w:val="20"/>
                <w:highlight w:val="none"/>
                <w:lang w:eastAsia="ja-JP"/>
              </w:rPr>
              <w:t>Parameters</w:t>
            </w:r>
          </w:p>
        </w:tc>
        <w:tc>
          <w:tcPr>
            <w:tcW w:w="5732" w:type="dxa"/>
            <w:shd w:val="clear" w:color="auto" w:fill="D9E2F3"/>
            <w:tcMar>
              <w:top w:w="0" w:type="dxa"/>
              <w:left w:w="108" w:type="dxa"/>
              <w:bottom w:w="0" w:type="dxa"/>
              <w:right w:w="108" w:type="dxa"/>
            </w:tcMar>
            <w:vAlign w:val="center"/>
          </w:tcPr>
          <w:p>
            <w:pPr>
              <w:pStyle w:val="61"/>
              <w:snapToGrid w:val="0"/>
              <w:rPr>
                <w:rFonts w:ascii="Times New Roman" w:hAnsi="Times New Roman"/>
                <w:bCs/>
                <w:sz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Carrier frequency for evaluation</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ascii="Times New Roman" w:hAnsi="Times New Roman"/>
                <w:sz w:val="20"/>
                <w:szCs w:val="20"/>
                <w:highlight w:val="none"/>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DMRS configuration</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hint="eastAsia" w:ascii="Times New Roman" w:hAnsi="Times New Roman"/>
                <w:sz w:val="20"/>
                <w:szCs w:val="20"/>
                <w:highlight w:val="none"/>
              </w:rPr>
              <w:t>DMRS type 1 without additional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Transmission scheme</w:t>
            </w:r>
          </w:p>
        </w:tc>
        <w:tc>
          <w:tcPr>
            <w:tcW w:w="5732" w:type="dxa"/>
            <w:tcMar>
              <w:top w:w="0" w:type="dxa"/>
              <w:left w:w="108" w:type="dxa"/>
              <w:bottom w:w="0" w:type="dxa"/>
              <w:right w:w="108" w:type="dxa"/>
            </w:tcMar>
          </w:tcPr>
          <w:p>
            <w:pPr>
              <w:keepNext/>
              <w:snapToGrid w:val="0"/>
              <w:spacing w:before="20" w:after="20" w:line="240" w:lineRule="auto"/>
              <w:rPr>
                <w:rFonts w:ascii="Times New Roman" w:hAnsi="Times New Roman"/>
                <w:sz w:val="20"/>
                <w:szCs w:val="20"/>
                <w:highlight w:val="none"/>
              </w:rPr>
            </w:pPr>
            <w:r>
              <w:rPr>
                <w:rFonts w:hint="eastAsia" w:ascii="Times New Roman" w:hAnsi="Times New Roman"/>
                <w:sz w:val="20"/>
                <w:szCs w:val="20"/>
                <w:highlight w:val="none"/>
              </w:rPr>
              <w:t>Single PDCCH design, 1 layer from each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Channel model</w:t>
            </w:r>
          </w:p>
        </w:tc>
        <w:tc>
          <w:tcPr>
            <w:tcW w:w="5732" w:type="dxa"/>
            <w:tcMar>
              <w:top w:w="0" w:type="dxa"/>
              <w:left w:w="108" w:type="dxa"/>
              <w:bottom w:w="0" w:type="dxa"/>
              <w:right w:w="108" w:type="dxa"/>
            </w:tcMar>
          </w:tcPr>
          <w:p>
            <w:pPr>
              <w:pStyle w:val="91"/>
              <w:snapToGrid w:val="0"/>
              <w:spacing w:line="240" w:lineRule="auto"/>
              <w:rPr>
                <w:sz w:val="20"/>
                <w:highlight w:val="none"/>
              </w:rPr>
            </w:pPr>
            <w:r>
              <w:rPr>
                <w:rFonts w:hint="eastAsia"/>
                <w:sz w:val="20"/>
                <w:highlight w:val="none"/>
              </w:rPr>
              <w:t>C</w:t>
            </w:r>
            <w:r>
              <w:rPr>
                <w:sz w:val="20"/>
                <w:highlight w:val="none"/>
              </w:rPr>
              <w:t>DL-C (delay spread: 300ns) as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UE speed</w:t>
            </w:r>
          </w:p>
        </w:tc>
        <w:tc>
          <w:tcPr>
            <w:tcW w:w="5732" w:type="dxa"/>
            <w:tcMar>
              <w:top w:w="0" w:type="dxa"/>
              <w:left w:w="108" w:type="dxa"/>
              <w:bottom w:w="0" w:type="dxa"/>
              <w:right w:w="108" w:type="dxa"/>
            </w:tcMar>
          </w:tcPr>
          <w:p>
            <w:pPr>
              <w:pStyle w:val="91"/>
              <w:snapToGrid w:val="0"/>
              <w:spacing w:line="240" w:lineRule="auto"/>
              <w:rPr>
                <w:sz w:val="20"/>
                <w:highlight w:val="none"/>
              </w:rPr>
            </w:pPr>
            <w:r>
              <w:rPr>
                <w:sz w:val="20"/>
                <w:highlight w:val="none"/>
              </w:rPr>
              <w:t xml:space="preserve">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BS antenna configuration</w:t>
            </w:r>
          </w:p>
        </w:tc>
        <w:tc>
          <w:tcPr>
            <w:tcW w:w="5732" w:type="dxa"/>
            <w:tcMar>
              <w:top w:w="0" w:type="dxa"/>
              <w:left w:w="108" w:type="dxa"/>
              <w:bottom w:w="0" w:type="dxa"/>
              <w:right w:w="108" w:type="dxa"/>
            </w:tcMar>
          </w:tcPr>
          <w:p>
            <w:pPr>
              <w:snapToGrid w:val="0"/>
              <w:spacing w:line="240" w:lineRule="auto"/>
              <w:rPr>
                <w:rFonts w:ascii="Times New Roman" w:hAnsi="Times New Roman" w:eastAsia="宋体"/>
                <w:sz w:val="20"/>
                <w:szCs w:val="20"/>
                <w:highlight w:val="none"/>
              </w:rPr>
            </w:pPr>
            <w:r>
              <w:rPr>
                <w:rFonts w:hint="eastAsia" w:ascii="Times New Roman" w:hAnsi="Times New Roman" w:eastAsia="宋体"/>
                <w:sz w:val="20"/>
                <w:szCs w:val="20"/>
                <w:highlight w:val="none"/>
              </w:rPr>
              <w:t>2</w:t>
            </w:r>
            <w:r>
              <w:rPr>
                <w:rFonts w:ascii="Times New Roman" w:hAnsi="Times New Roman" w:eastAsia="Times New Roman"/>
                <w:sz w:val="20"/>
                <w:szCs w:val="20"/>
                <w:highlight w:val="none"/>
              </w:rPr>
              <w:t xml:space="preserve"> </w:t>
            </w:r>
            <w:r>
              <w:rPr>
                <w:rFonts w:ascii="Times New Roman" w:hAnsi="Times New Roman" w:eastAsia="宋体"/>
                <w:sz w:val="20"/>
                <w:szCs w:val="20"/>
                <w:highlight w:val="none"/>
              </w:rPr>
              <w:t>Tx antenna</w:t>
            </w:r>
            <w:r>
              <w:rPr>
                <w:rFonts w:ascii="Times New Roman" w:hAnsi="Times New Roman"/>
                <w:sz w:val="20"/>
                <w:szCs w:val="20"/>
                <w:highlight w:val="none"/>
              </w:rPr>
              <w:t xml:space="preserve"> ports</w:t>
            </w:r>
            <w:r>
              <w:rPr>
                <w:rFonts w:ascii="Times New Roman" w:hAnsi="Times New Roman" w:eastAsia="宋体"/>
                <w:sz w:val="20"/>
                <w:szCs w:val="20"/>
                <w:highlight w:val="none"/>
              </w:rPr>
              <w:t xml:space="preserve">: (M, N, P, Mg, Ng; Mp, Np) = (8, </w:t>
            </w:r>
            <w:r>
              <w:rPr>
                <w:rFonts w:hint="eastAsia" w:ascii="Times New Roman" w:hAnsi="Times New Roman" w:eastAsia="宋体"/>
                <w:sz w:val="20"/>
                <w:szCs w:val="20"/>
                <w:highlight w:val="none"/>
              </w:rPr>
              <w:t>1</w:t>
            </w:r>
            <w:r>
              <w:rPr>
                <w:rFonts w:ascii="Times New Roman" w:hAnsi="Times New Roman" w:eastAsia="宋体"/>
                <w:sz w:val="20"/>
                <w:szCs w:val="20"/>
                <w:highlight w:val="none"/>
              </w:rPr>
              <w:t>, 2, 1, 1;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UE antenna configuration</w:t>
            </w:r>
          </w:p>
        </w:tc>
        <w:tc>
          <w:tcPr>
            <w:tcW w:w="5732" w:type="dxa"/>
            <w:tcMar>
              <w:top w:w="0" w:type="dxa"/>
              <w:left w:w="108" w:type="dxa"/>
              <w:bottom w:w="0" w:type="dxa"/>
              <w:right w:w="108" w:type="dxa"/>
            </w:tcMar>
          </w:tcPr>
          <w:p>
            <w:pPr>
              <w:snapToGrid w:val="0"/>
              <w:spacing w:after="60" w:line="240" w:lineRule="auto"/>
              <w:rPr>
                <w:rFonts w:ascii="Times New Roman" w:hAnsi="Times New Roman" w:eastAsia="宋体"/>
                <w:sz w:val="20"/>
                <w:szCs w:val="20"/>
                <w:highlight w:val="none"/>
              </w:rPr>
            </w:pPr>
            <w:r>
              <w:rPr>
                <w:rFonts w:ascii="Times New Roman" w:hAnsi="Times New Roman" w:eastAsia="Times New Roman"/>
                <w:sz w:val="20"/>
                <w:szCs w:val="20"/>
                <w:highlight w:val="none"/>
              </w:rPr>
              <w:t xml:space="preserve">4 </w:t>
            </w:r>
            <w:r>
              <w:rPr>
                <w:rFonts w:ascii="Times New Roman" w:hAnsi="Times New Roman" w:eastAsia="宋体"/>
                <w:sz w:val="20"/>
                <w:szCs w:val="20"/>
                <w:highlight w:val="none"/>
              </w:rPr>
              <w:t>Rx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The number of PRBs</w:t>
            </w:r>
          </w:p>
        </w:tc>
        <w:tc>
          <w:tcPr>
            <w:tcW w:w="5732" w:type="dxa"/>
            <w:tcMar>
              <w:top w:w="0" w:type="dxa"/>
              <w:left w:w="108" w:type="dxa"/>
              <w:bottom w:w="0" w:type="dxa"/>
              <w:right w:w="108" w:type="dxa"/>
            </w:tcMar>
          </w:tcPr>
          <w:p>
            <w:pPr>
              <w:snapToGrid w:val="0"/>
              <w:spacing w:after="60" w:line="240" w:lineRule="auto"/>
              <w:rPr>
                <w:rFonts w:ascii="Times New Roman" w:hAnsi="Times New Roman" w:eastAsia="宋体"/>
                <w:sz w:val="20"/>
                <w:szCs w:val="20"/>
                <w:highlight w:val="none"/>
              </w:rPr>
            </w:pPr>
            <w:r>
              <w:rPr>
                <w:rFonts w:hint="eastAsia" w:ascii="Times New Roman" w:hAnsi="Times New Roman" w:eastAsia="宋体"/>
                <w:sz w:val="20"/>
                <w:szCs w:val="20"/>
                <w:highlight w:val="none"/>
              </w:rPr>
              <w:t>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eastAsia="宋体"/>
                <w:kern w:val="24"/>
                <w:sz w:val="20"/>
                <w:szCs w:val="20"/>
                <w:highlight w:val="none"/>
              </w:rPr>
              <w:t>Modulation</w:t>
            </w:r>
          </w:p>
        </w:tc>
        <w:tc>
          <w:tcPr>
            <w:tcW w:w="5732" w:type="dxa"/>
            <w:tcMar>
              <w:top w:w="0" w:type="dxa"/>
              <w:left w:w="108" w:type="dxa"/>
              <w:bottom w:w="0" w:type="dxa"/>
              <w:right w:w="108" w:type="dxa"/>
            </w:tcMar>
          </w:tcPr>
          <w:p>
            <w:pPr>
              <w:pStyle w:val="63"/>
              <w:snapToGrid w:val="0"/>
              <w:spacing w:line="240" w:lineRule="auto"/>
              <w:rPr>
                <w:rFonts w:ascii="Times New Roman" w:hAnsi="Times New Roman"/>
                <w:bCs/>
                <w:sz w:val="20"/>
                <w:szCs w:val="20"/>
                <w:highlight w:val="none"/>
              </w:rPr>
            </w:pPr>
            <w:r>
              <w:rPr>
                <w:rFonts w:hint="eastAsia" w:ascii="Times New Roman" w:hAnsi="Times New Roman"/>
                <w:bCs/>
                <w:sz w:val="20"/>
                <w:szCs w:val="20"/>
                <w:highlight w:val="none"/>
              </w:rPr>
              <w:t xml:space="preserve">QPSK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Sub-carrier spacing</w:t>
            </w:r>
          </w:p>
        </w:tc>
        <w:tc>
          <w:tcPr>
            <w:tcW w:w="5732" w:type="dxa"/>
            <w:tcMar>
              <w:top w:w="0" w:type="dxa"/>
              <w:left w:w="108" w:type="dxa"/>
              <w:bottom w:w="0" w:type="dxa"/>
              <w:right w:w="108" w:type="dxa"/>
            </w:tcMar>
          </w:tcPr>
          <w:p>
            <w:pPr>
              <w:pStyle w:val="92"/>
              <w:snapToGrid w:val="0"/>
              <w:spacing w:before="0" w:beforeAutospacing="0" w:after="0" w:afterAutospacing="0" w:line="240" w:lineRule="auto"/>
              <w:rPr>
                <w:rFonts w:ascii="Times New Roman" w:hAnsi="Times New Roman" w:eastAsia="宋体" w:cs="Times New Roman"/>
                <w:sz w:val="20"/>
                <w:szCs w:val="20"/>
                <w:highlight w:val="none"/>
                <w:lang w:eastAsia="zh-CN"/>
              </w:rPr>
            </w:pPr>
            <w:r>
              <w:rPr>
                <w:rFonts w:ascii="Times New Roman" w:hAnsi="Times New Roman" w:eastAsia="宋体" w:cs="Times New Roman"/>
                <w:sz w:val="20"/>
                <w:szCs w:val="20"/>
                <w:highlight w:val="none"/>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Channel estimation</w:t>
            </w:r>
          </w:p>
        </w:tc>
        <w:tc>
          <w:tcPr>
            <w:tcW w:w="5732" w:type="dxa"/>
            <w:tcMar>
              <w:top w:w="0" w:type="dxa"/>
              <w:left w:w="108" w:type="dxa"/>
              <w:bottom w:w="0" w:type="dxa"/>
              <w:right w:w="108" w:type="dxa"/>
            </w:tcMar>
          </w:tcPr>
          <w:p>
            <w:pPr>
              <w:pStyle w:val="92"/>
              <w:snapToGrid w:val="0"/>
              <w:spacing w:line="240" w:lineRule="auto"/>
              <w:rPr>
                <w:rFonts w:ascii="Times New Roman" w:hAnsi="Times New Roman" w:cs="Times New Roman"/>
                <w:sz w:val="20"/>
                <w:szCs w:val="20"/>
                <w:highlight w:val="none"/>
                <w:lang w:val="en-US"/>
              </w:rPr>
            </w:pPr>
            <w:r>
              <w:rPr>
                <w:rFonts w:ascii="Times New Roman" w:hAnsi="Times New Roman" w:cs="Times New Roman"/>
                <w:sz w:val="20"/>
                <w:szCs w:val="20"/>
                <w:highlight w:val="none"/>
                <w:lang w:val="en-US"/>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lang w:eastAsia="ja-JP"/>
              </w:rPr>
            </w:pPr>
            <w:r>
              <w:rPr>
                <w:rFonts w:ascii="Times New Roman" w:hAnsi="Times New Roman"/>
                <w:sz w:val="20"/>
                <w:szCs w:val="20"/>
                <w:highlight w:val="none"/>
                <w:lang w:eastAsia="ja-JP"/>
              </w:rPr>
              <w:t>Receiver type</w:t>
            </w:r>
          </w:p>
        </w:tc>
        <w:tc>
          <w:tcPr>
            <w:tcW w:w="5732" w:type="dxa"/>
            <w:tcMar>
              <w:top w:w="0" w:type="dxa"/>
              <w:left w:w="108" w:type="dxa"/>
              <w:bottom w:w="0" w:type="dxa"/>
              <w:right w:w="108" w:type="dxa"/>
            </w:tcMar>
          </w:tcPr>
          <w:p>
            <w:pPr>
              <w:pStyle w:val="92"/>
              <w:snapToGrid w:val="0"/>
              <w:spacing w:line="240" w:lineRule="auto"/>
              <w:rPr>
                <w:rFonts w:ascii="Times New Roman" w:hAnsi="Times New Roman" w:cs="Times New Roman"/>
                <w:sz w:val="20"/>
                <w:szCs w:val="20"/>
                <w:highlight w:val="none"/>
                <w:lang w:val="en-US"/>
              </w:rPr>
            </w:pPr>
            <w:r>
              <w:rPr>
                <w:rFonts w:ascii="Times New Roman" w:hAnsi="Times New Roman" w:cs="Times New Roman"/>
                <w:sz w:val="20"/>
                <w:szCs w:val="20"/>
                <w:highlight w:val="none"/>
                <w:lang w:val="en-US"/>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1" w:hRule="atLeast"/>
          <w:jc w:val="center"/>
        </w:trPr>
        <w:tc>
          <w:tcPr>
            <w:tcW w:w="3048" w:type="dxa"/>
            <w:tcMar>
              <w:top w:w="0" w:type="dxa"/>
              <w:left w:w="108" w:type="dxa"/>
              <w:bottom w:w="0" w:type="dxa"/>
              <w:right w:w="108" w:type="dxa"/>
            </w:tcMar>
          </w:tcPr>
          <w:p>
            <w:pPr>
              <w:snapToGrid w:val="0"/>
              <w:spacing w:line="240" w:lineRule="auto"/>
              <w:rPr>
                <w:rFonts w:ascii="Times New Roman" w:hAnsi="Times New Roman"/>
                <w:sz w:val="20"/>
                <w:szCs w:val="20"/>
                <w:highlight w:val="none"/>
              </w:rPr>
            </w:pPr>
            <w:r>
              <w:rPr>
                <w:rFonts w:hint="eastAsia" w:ascii="Times New Roman" w:hAnsi="Times New Roman"/>
                <w:sz w:val="20"/>
                <w:szCs w:val="20"/>
                <w:highlight w:val="none"/>
              </w:rPr>
              <w:t>PMI feedback</w:t>
            </w:r>
          </w:p>
        </w:tc>
        <w:tc>
          <w:tcPr>
            <w:tcW w:w="5732" w:type="dxa"/>
            <w:tcMar>
              <w:top w:w="0" w:type="dxa"/>
              <w:left w:w="108" w:type="dxa"/>
              <w:bottom w:w="0" w:type="dxa"/>
              <w:right w:w="108" w:type="dxa"/>
            </w:tcMar>
          </w:tcPr>
          <w:p>
            <w:pPr>
              <w:pStyle w:val="92"/>
              <w:snapToGrid w:val="0"/>
              <w:spacing w:line="240" w:lineRule="auto"/>
              <w:rPr>
                <w:rFonts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Independent PMI feedback for the two TRP, 5 slots feedback interval</w:t>
            </w:r>
          </w:p>
        </w:tc>
      </w:tr>
    </w:tbl>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EE5687A6"/>
    <w:multiLevelType w:val="singleLevel"/>
    <w:tmpl w:val="EE5687A6"/>
    <w:lvl w:ilvl="0" w:tentative="0">
      <w:start w:val="1"/>
      <w:numFmt w:val="bullet"/>
      <w:lvlText w:val=""/>
      <w:lvlJc w:val="left"/>
      <w:pPr>
        <w:ind w:left="420" w:hanging="420"/>
      </w:pPr>
      <w:rPr>
        <w:rFonts w:hint="default" w:ascii="Wingdings" w:hAnsi="Wingdings"/>
      </w:rPr>
    </w:lvl>
  </w:abstractNum>
  <w:abstractNum w:abstractNumId="2">
    <w:nsid w:val="0E0474BA"/>
    <w:multiLevelType w:val="multilevel"/>
    <w:tmpl w:val="0E0474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2EB69CC"/>
    <w:multiLevelType w:val="multilevel"/>
    <w:tmpl w:val="12EB69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7760DE"/>
    <w:multiLevelType w:val="multilevel"/>
    <w:tmpl w:val="1E7760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6C3833"/>
    <w:multiLevelType w:val="multilevel"/>
    <w:tmpl w:val="1F6C38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361888"/>
    <w:multiLevelType w:val="multilevel"/>
    <w:tmpl w:val="2336188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29BA7C74"/>
    <w:multiLevelType w:val="multilevel"/>
    <w:tmpl w:val="29BA7C7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741191D"/>
    <w:multiLevelType w:val="multilevel"/>
    <w:tmpl w:val="5741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75565D5"/>
    <w:multiLevelType w:val="singleLevel"/>
    <w:tmpl w:val="575565D5"/>
    <w:lvl w:ilvl="0" w:tentative="0">
      <w:start w:val="1"/>
      <w:numFmt w:val="lowerLetter"/>
      <w:suff w:val="space"/>
      <w:lvlText w:val="(%1)"/>
      <w:lvlJc w:val="left"/>
    </w:lvl>
  </w:abstractNum>
  <w:abstractNum w:abstractNumId="11">
    <w:nsid w:val="58835324"/>
    <w:multiLevelType w:val="multilevel"/>
    <w:tmpl w:val="588353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3">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E3723EA"/>
    <w:multiLevelType w:val="multilevel"/>
    <w:tmpl w:val="5E3723E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483338A"/>
    <w:multiLevelType w:val="multilevel"/>
    <w:tmpl w:val="64833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0"/>
  </w:num>
  <w:num w:numId="3">
    <w:abstractNumId w:val="8"/>
  </w:num>
  <w:num w:numId="4">
    <w:abstractNumId w:val="13"/>
  </w:num>
  <w:num w:numId="5">
    <w:abstractNumId w:val="3"/>
  </w:num>
  <w:num w:numId="6">
    <w:abstractNumId w:val="14"/>
  </w:num>
  <w:num w:numId="7">
    <w:abstractNumId w:val="11"/>
  </w:num>
  <w:num w:numId="8">
    <w:abstractNumId w:val="7"/>
  </w:num>
  <w:num w:numId="9">
    <w:abstractNumId w:val="2"/>
  </w:num>
  <w:num w:numId="10">
    <w:abstractNumId w:val="5"/>
  </w:num>
  <w:num w:numId="11">
    <w:abstractNumId w:val="9"/>
  </w:num>
  <w:num w:numId="12">
    <w:abstractNumId w:val="4"/>
  </w:num>
  <w:num w:numId="13">
    <w:abstractNumId w:val="6"/>
  </w:num>
  <w:num w:numId="14">
    <w:abstractNumId w:val="15"/>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1F22"/>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72AC2"/>
    <w:rsid w:val="0258068C"/>
    <w:rsid w:val="025F6C83"/>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3F8458A"/>
    <w:rsid w:val="040205B6"/>
    <w:rsid w:val="040562E0"/>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23DBE"/>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C24EFE"/>
    <w:rsid w:val="08C41E8D"/>
    <w:rsid w:val="08C8577F"/>
    <w:rsid w:val="08C97AC5"/>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D46D3"/>
    <w:rsid w:val="0C055D2C"/>
    <w:rsid w:val="0C094292"/>
    <w:rsid w:val="0C0B43A5"/>
    <w:rsid w:val="0C0D54D5"/>
    <w:rsid w:val="0C1232A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C75B70"/>
    <w:rsid w:val="0DC93981"/>
    <w:rsid w:val="0DCA1C2D"/>
    <w:rsid w:val="0DCA5B2E"/>
    <w:rsid w:val="0DD339D9"/>
    <w:rsid w:val="0DD51E4A"/>
    <w:rsid w:val="0DD568C6"/>
    <w:rsid w:val="0DD75970"/>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566D6"/>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C209A7"/>
    <w:rsid w:val="14C453B3"/>
    <w:rsid w:val="14C569D9"/>
    <w:rsid w:val="14C65E96"/>
    <w:rsid w:val="14CA27FE"/>
    <w:rsid w:val="14D031DA"/>
    <w:rsid w:val="14D1156B"/>
    <w:rsid w:val="14D1229A"/>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D030D3A"/>
    <w:rsid w:val="1D065265"/>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A54F7"/>
    <w:rsid w:val="1FB234B9"/>
    <w:rsid w:val="1FB966AC"/>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C75AF"/>
    <w:rsid w:val="26034949"/>
    <w:rsid w:val="26040C06"/>
    <w:rsid w:val="260D34D1"/>
    <w:rsid w:val="26164EC4"/>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527E1"/>
    <w:rsid w:val="26A84125"/>
    <w:rsid w:val="26AA70AB"/>
    <w:rsid w:val="26AD35FE"/>
    <w:rsid w:val="26AF7EB1"/>
    <w:rsid w:val="26B03757"/>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30C7"/>
    <w:rsid w:val="2A4F54C7"/>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73CB6"/>
    <w:rsid w:val="34A86EFC"/>
    <w:rsid w:val="34AE13F1"/>
    <w:rsid w:val="34AF406A"/>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45004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A6F31"/>
    <w:rsid w:val="387265C4"/>
    <w:rsid w:val="387552D4"/>
    <w:rsid w:val="387811A2"/>
    <w:rsid w:val="38803E9A"/>
    <w:rsid w:val="38833659"/>
    <w:rsid w:val="38866914"/>
    <w:rsid w:val="388827A3"/>
    <w:rsid w:val="388B58E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94363"/>
    <w:rsid w:val="3B6A6F30"/>
    <w:rsid w:val="3B6B3E1B"/>
    <w:rsid w:val="3B7175ED"/>
    <w:rsid w:val="3B7445CF"/>
    <w:rsid w:val="3B7923BD"/>
    <w:rsid w:val="3B7948A0"/>
    <w:rsid w:val="3B7A0E16"/>
    <w:rsid w:val="3B7A5CB5"/>
    <w:rsid w:val="3B7B36A3"/>
    <w:rsid w:val="3B81256C"/>
    <w:rsid w:val="3B8535DD"/>
    <w:rsid w:val="3B865EFD"/>
    <w:rsid w:val="3B8A0FE3"/>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0FB3"/>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B3947"/>
    <w:rsid w:val="46532B01"/>
    <w:rsid w:val="46540E4D"/>
    <w:rsid w:val="46584184"/>
    <w:rsid w:val="4661416D"/>
    <w:rsid w:val="46630636"/>
    <w:rsid w:val="4664264C"/>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126E12"/>
    <w:rsid w:val="48147DE1"/>
    <w:rsid w:val="4818087E"/>
    <w:rsid w:val="481967BC"/>
    <w:rsid w:val="48197F67"/>
    <w:rsid w:val="481D0901"/>
    <w:rsid w:val="481E2997"/>
    <w:rsid w:val="481E4905"/>
    <w:rsid w:val="48217A95"/>
    <w:rsid w:val="4822244F"/>
    <w:rsid w:val="482A6776"/>
    <w:rsid w:val="48303484"/>
    <w:rsid w:val="4834135F"/>
    <w:rsid w:val="48346940"/>
    <w:rsid w:val="48377CE3"/>
    <w:rsid w:val="48393F25"/>
    <w:rsid w:val="483E3DD0"/>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D3EC5"/>
    <w:rsid w:val="50715A85"/>
    <w:rsid w:val="50734618"/>
    <w:rsid w:val="5073496F"/>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F4B97"/>
    <w:rsid w:val="51401B57"/>
    <w:rsid w:val="51441568"/>
    <w:rsid w:val="5145236D"/>
    <w:rsid w:val="51480A97"/>
    <w:rsid w:val="514A03E9"/>
    <w:rsid w:val="514E3CC7"/>
    <w:rsid w:val="515278BC"/>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F158C"/>
    <w:rsid w:val="5460480E"/>
    <w:rsid w:val="54682008"/>
    <w:rsid w:val="546A78D3"/>
    <w:rsid w:val="546C3784"/>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61BEC"/>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63A1D"/>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7D0570"/>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291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EA7CB9"/>
    <w:rsid w:val="68F3092C"/>
    <w:rsid w:val="68F76E9E"/>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E7C28"/>
    <w:rsid w:val="6DC616C6"/>
    <w:rsid w:val="6DC822B5"/>
    <w:rsid w:val="6DC869CE"/>
    <w:rsid w:val="6DCA662C"/>
    <w:rsid w:val="6DCB0323"/>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5F28E1"/>
    <w:rsid w:val="74600ADB"/>
    <w:rsid w:val="746206FB"/>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80636A"/>
    <w:rsid w:val="758641B8"/>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CA49B8"/>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14A34"/>
    <w:rsid w:val="7F614D28"/>
    <w:rsid w:val="7F6179F3"/>
    <w:rsid w:val="7F63372A"/>
    <w:rsid w:val="7F642634"/>
    <w:rsid w:val="7F6812CE"/>
    <w:rsid w:val="7F70218A"/>
    <w:rsid w:val="7F7514A2"/>
    <w:rsid w:val="7F7D592C"/>
    <w:rsid w:val="7F805AC3"/>
    <w:rsid w:val="7F8649A9"/>
    <w:rsid w:val="7F873895"/>
    <w:rsid w:val="7F891D26"/>
    <w:rsid w:val="7F8A16A6"/>
    <w:rsid w:val="7F8D77FC"/>
    <w:rsid w:val="7F913931"/>
    <w:rsid w:val="7F915207"/>
    <w:rsid w:val="7F960E9D"/>
    <w:rsid w:val="7F98284E"/>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9"/>
    <w:unhideWhenUsed/>
    <w:qFormat/>
    <w:uiPriority w:val="99"/>
    <w:rPr>
      <w:b/>
      <w:bCs/>
    </w:rPr>
  </w:style>
  <w:style w:type="paragraph" w:styleId="13">
    <w:name w:val="annotation text"/>
    <w:basedOn w:val="1"/>
    <w:link w:val="38"/>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4"/>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40"/>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Normal (Web)"/>
    <w:basedOn w:val="1"/>
    <w:unhideWhenUsed/>
    <w:qFormat/>
    <w:uiPriority w:val="99"/>
    <w:pPr>
      <w:spacing w:after="0" w:line="240" w:lineRule="auto"/>
    </w:pPr>
    <w:rPr>
      <w:rFonts w:ascii="宋体" w:hAnsi="宋体" w:cs="宋体"/>
      <w:sz w:val="24"/>
      <w:szCs w:val="24"/>
    </w:rPr>
  </w:style>
  <w:style w:type="character" w:styleId="28">
    <w:name w:val="Strong"/>
    <w:basedOn w:val="27"/>
    <w:qFormat/>
    <w:uiPriority w:val="22"/>
    <w:rPr>
      <w:b/>
    </w:rPr>
  </w:style>
  <w:style w:type="character" w:styleId="29">
    <w:name w:val="page number"/>
    <w:basedOn w:val="27"/>
    <w:unhideWhenUsed/>
    <w:qFormat/>
    <w:uiPriority w:val="99"/>
    <w:rPr>
      <w:rFonts w:hint="default"/>
      <w:sz w:val="24"/>
    </w:rPr>
  </w:style>
  <w:style w:type="character" w:styleId="30">
    <w:name w:val="Emphasis"/>
    <w:basedOn w:val="27"/>
    <w:qFormat/>
    <w:uiPriority w:val="20"/>
    <w:rPr>
      <w:i/>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table" w:styleId="34">
    <w:name w:val="Table Grid"/>
    <w:basedOn w:val="3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Heading 1 Char"/>
    <w:link w:val="2"/>
    <w:qFormat/>
    <w:uiPriority w:val="99"/>
    <w:rPr>
      <w:rFonts w:ascii="Arial" w:hAnsi="Arial" w:eastAsia="黑体"/>
      <w:b/>
      <w:bCs/>
      <w:sz w:val="30"/>
      <w:szCs w:val="30"/>
      <w:lang w:val="zh-CN" w:eastAsia="zh-CN"/>
    </w:rPr>
  </w:style>
  <w:style w:type="character" w:customStyle="1" w:styleId="36">
    <w:name w:val="Header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Comment Text Char"/>
    <w:basedOn w:val="27"/>
    <w:link w:val="13"/>
    <w:qFormat/>
    <w:uiPriority w:val="99"/>
  </w:style>
  <w:style w:type="character" w:customStyle="1" w:styleId="39">
    <w:name w:val="Comment Subject Char"/>
    <w:link w:val="12"/>
    <w:semiHidden/>
    <w:qFormat/>
    <w:uiPriority w:val="99"/>
    <w:rPr>
      <w:b/>
      <w:bCs/>
    </w:rPr>
  </w:style>
  <w:style w:type="character" w:customStyle="1" w:styleId="40">
    <w:name w:val="Balloon Text Char"/>
    <w:link w:val="22"/>
    <w:semiHidden/>
    <w:qFormat/>
    <w:uiPriority w:val="99"/>
    <w:rPr>
      <w:rFonts w:ascii="Tahoma" w:hAnsi="Tahoma" w:cs="Tahoma"/>
      <w:sz w:val="16"/>
      <w:szCs w:val="16"/>
    </w:rPr>
  </w:style>
  <w:style w:type="character" w:customStyle="1" w:styleId="41">
    <w:name w:val="Document Map Char"/>
    <w:link w:val="16"/>
    <w:semiHidden/>
    <w:qFormat/>
    <w:uiPriority w:val="99"/>
    <w:rPr>
      <w:rFonts w:ascii="宋体"/>
      <w:sz w:val="18"/>
      <w:szCs w:val="18"/>
    </w:rPr>
  </w:style>
  <w:style w:type="character" w:customStyle="1" w:styleId="42">
    <w:name w:val="Body Text Char"/>
    <w:link w:val="17"/>
    <w:qFormat/>
    <w:uiPriority w:val="0"/>
    <w:rPr>
      <w:rFonts w:ascii="Times New Roman" w:hAnsi="Times New Roman"/>
      <w:color w:val="0000FF"/>
      <w:kern w:val="2"/>
      <w:sz w:val="21"/>
    </w:rPr>
  </w:style>
  <w:style w:type="character" w:customStyle="1" w:styleId="43">
    <w:name w:val="Caption Char"/>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Footer Char"/>
    <w:link w:val="23"/>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7"/>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7"/>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7"/>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7"/>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7"/>
    <w:link w:val="18"/>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5"/>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emf"/><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E5F44-55DF-478E-98F0-47BBF25979E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14</Pages>
  <Words>4963</Words>
  <Characters>28293</Characters>
  <Lines>235</Lines>
  <Paragraphs>66</Paragraphs>
  <TotalTime>12</TotalTime>
  <ScaleCrop>false</ScaleCrop>
  <LinksUpToDate>false</LinksUpToDate>
  <CharactersWithSpaces>33190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Chuangxin</cp:lastModifiedBy>
  <dcterms:modified xsi:type="dcterms:W3CDTF">2019-11-08T03:26:18Z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